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4718AE73">
      <w:pPr>
        <w:pStyle w:val="140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36"/>
        </w:rPr>
        <w:t xml:space="preserve">Денежное довольствие при самовольном оставлении части свыше двух суток</w:t>
      </w:r>
      <w:r/>
    </w:p>
    <w:p w14:paraId="04C3269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Правовая основа</w:t>
      </w:r>
      <w:r/>
    </w:p>
    <w:p w14:paraId="10B102A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Порядок обеспечения денежным довольствием военнослужащих Вооружённых Сил РФ регламентируется:</w:t>
      </w:r>
      <w:r/>
    </w:p>
    <w:p w14:paraId="059AED23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Федеральным законом от 07.11.2011 № 306‑ФЗ «О денежном довольствии военнослужащих и предоставлении им отдельных социальных гарантий»;</w:t>
      </w:r>
      <w:r/>
    </w:p>
    <w:p w14:paraId="06A3735C">
      <w:pPr>
        <w:pStyle w:val="668"/>
        <w:numPr>
          <w:ilvl w:val="0"/>
          <w:numId w:val="1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Приказом Минобороны РФ от 06.12.2019 № 2700.</w:t>
      </w:r>
      <w:r/>
    </w:p>
    <w:p w14:paraId="1251CE73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Условия приостановления выплат</w:t>
      </w:r>
      <w:r/>
    </w:p>
    <w:p w14:paraId="728D78C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Денежное довольствие сохраняется в полном объёме, если самовольное отсутствие длится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 двух суток включительно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 При превышении этого порога выплаты приостанавливаются.</w:t>
      </w:r>
      <w:r/>
    </w:p>
    <w:p w14:paraId="3D0EE1BB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Приостановление производится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 дня, следующего за днём самовольного оставления части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дата ухода фиксируется в приказе командира и служит отправной точкой для расчёта периода неоплаты. Приостановление не отменяется автоматически по факту возвращения военнослужащего в часть.</w:t>
      </w:r>
      <w:r/>
    </w:p>
    <w:p w14:paraId="5015AC3F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Что не выплачивается за период СОЧ свыше двух суток</w:t>
      </w:r>
      <w:r/>
    </w:p>
    <w:p w14:paraId="7E7FB426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За всё время самовольного отсутствия продолжительностью более двух суток не производятся выплаты:</w:t>
      </w:r>
      <w:r/>
    </w:p>
    <w:p w14:paraId="4098A8DD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оклада по воинской должности;</w:t>
      </w:r>
      <w:r/>
    </w:p>
    <w:p w14:paraId="310352E2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оклада по воинскому званию;</w:t>
      </w:r>
      <w:r/>
    </w:p>
    <w:p w14:paraId="0928FA71">
      <w:pPr>
        <w:pStyle w:val="668"/>
        <w:numPr>
          <w:ilvl w:val="0"/>
          <w:numId w:val="2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иных ежемесячных и дополнительных надбавок, составляющих основное денежное довольствие.</w:t>
      </w:r>
      <w:r/>
    </w:p>
    <w:p w14:paraId="71E0A893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Период приостановления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компенсируется задним числом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 не восстанавливается после возвращения военнослужащего.</w:t>
      </w:r>
      <w:r/>
    </w:p>
    <w:p w14:paraId="77E5291E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Исключение: дополнительная выплата призывникам из числа детей‑сирот</w:t>
      </w:r>
      <w:r/>
    </w:p>
    <w:p w14:paraId="59EF50B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военнослужащих по призыву из числа детей‑сирот и детей, оставшихся без попечения родителей, предусмотрено единственное исключение: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дополнительная ежемесячная выплата сохраняется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даже за время самовольного отсутствия.</w:t>
      </w:r>
      <w:r/>
    </w:p>
    <w:p w14:paraId="74303DB4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 этом основное денежное довольствие у данной категории при СОЧ свыше двух суток приостанавливается на общих основаниях.</w:t>
      </w:r>
      <w:r/>
    </w:p>
    <w:p w14:paraId="2DC50300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Порядок возобновления денежного довольствия</w:t>
      </w:r>
      <w:r/>
    </w:p>
    <w:p w14:paraId="17F7409C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Выплаты возобновляются не автоматически, а только после прохождения установленной процедуры:</w:t>
      </w:r>
      <w:r/>
    </w:p>
    <w:p w14:paraId="7F95B48B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Фиксация факта СОЧ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 приказе командира фиксируется дата ухода военнослужащего.</w:t>
      </w:r>
      <w:r/>
    </w:p>
    <w:p w14:paraId="526FE68A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Возвращение военнослужащего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факт явки официально регистрируется.</w:t>
      </w:r>
      <w:r/>
    </w:p>
    <w:p w14:paraId="60C8E1B4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Служебное разбирательство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командир организует проверку для установления причин, обстоятельств и продолжительности отсутствия.</w:t>
      </w:r>
      <w:r/>
    </w:p>
    <w:p w14:paraId="45B754EE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Принятие решения по результатам разбирательства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определяется правовая квалификация отсутствия, период, подлежащий исключению из оплаты, и основания для возобновления выплат.</w:t>
      </w:r>
      <w:r/>
    </w:p>
    <w:p w14:paraId="6C6B2092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Издание приказа о возобновлении выплат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в нём указывается дата, с которой возобновляется денежное довольствие.</w:t>
      </w:r>
      <w:r/>
    </w:p>
    <w:p w14:paraId="3A996326">
      <w:pPr>
        <w:pStyle w:val="668"/>
        <w:numPr>
          <w:ilvl w:val="0"/>
          <w:numId w:val="3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Финансовый расчёт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 — финансовый орган части производит расчёт и возобновляет выплаты с даты, определённой приказом. Период СОЧ свыше двух суток остаётся неоплаченным.</w:t>
      </w:r>
      <w:r/>
    </w:p>
    <w:p w14:paraId="13F5B08A">
      <w:pPr>
        <w:pStyle w:val="141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color w:val="000000"/>
          <w:sz w:val="28"/>
        </w:rPr>
        <w:t xml:space="preserve">Ключевые выводы</w:t>
      </w:r>
      <w:r/>
    </w:p>
    <w:p w14:paraId="1AF2E567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Порог для приостановления выплат — самовольное отсутствие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более двух суток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66C4733F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Приостановление начинается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 следующего дня после даты ухода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, зафиксированной в приказе.</w:t>
      </w:r>
      <w:r/>
    </w:p>
    <w:p w14:paraId="3130B568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Весь период СОЧ свыше двух суток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не оплачивается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и не подлежит восстановлению.</w:t>
      </w:r>
      <w:r/>
    </w:p>
    <w:p w14:paraId="789DFD5E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Возобновление выплат возможно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только после служебного разбирательства и издания нового приказа командира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.</w:t>
      </w:r>
      <w:r/>
    </w:p>
    <w:p w14:paraId="4577D519">
      <w:pPr>
        <w:pStyle w:val="668"/>
        <w:numPr>
          <w:ilvl w:val="0"/>
          <w:numId w:val="4"/>
        </w:num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40" w:lineRule="auto"/>
        <w:ind w:right="0"/>
        <w:rPr/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Для призывников из числа детей‑сирот 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сохраняется дополнительная ежемесячная выплата</w:t>
      </w:r>
      <w:r>
        <w:rPr>
          <w:rFonts w:ascii="Times New Roman" w:hAnsi="Times New Roman" w:eastAsia="Times New Roman" w:cs="Times New Roman"/>
          <w:color w:val="000000"/>
          <w:sz w:val="24"/>
        </w:rPr>
        <w:t xml:space="preserve"> даже за период самовольного отсутствия (при приостановлении основного довольствия).</w:t>
      </w:r>
      <w:r/>
    </w:p>
    <w:p>
      <w:pPr>
        <w:pBdr/>
        <w:spacing/>
        <w:ind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571C70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">
    <w:nsid w:val="00B8D07C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68E98001"/>
    <w:lvl w:ilvl="0">
      <w:isLgl w:val="false"/>
      <w:lvlJc w:val="right"/>
      <w:lvlText w:val="%1."/>
      <w:numFmt w:val="decimal"/>
      <w:pPr>
        <w:pBdr/>
        <w:spacing/>
        <w:ind w:hanging="360" w:left="709"/>
      </w:pPr>
      <w:rPr/>
      <w:start w:val="1"/>
      <w:suff w:val="tab"/>
    </w:lvl>
    <w:lvl w:ilvl="1">
      <w:isLgl w:val="false"/>
      <w:lvlJc w:val="right"/>
      <w:lvlText w:val="%2."/>
      <w:numFmt w:val="decimal"/>
      <w:pPr>
        <w:pBdr/>
        <w:spacing/>
        <w:ind w:hanging="360" w:left="1429"/>
      </w:pPr>
      <w:rPr/>
      <w:start w:val="1"/>
      <w:suff w:val="tab"/>
    </w:lvl>
    <w:lvl w:ilvl="2">
      <w:isLgl w:val="false"/>
      <w:lvlJc w:val="right"/>
      <w:lvlText w:val="%3."/>
      <w:numFmt w:val="decimal"/>
      <w:pPr>
        <w:pBdr/>
        <w:spacing/>
        <w:ind w:hanging="360" w:left="2149"/>
      </w:pPr>
      <w:rPr/>
      <w:start w:val="1"/>
      <w:suff w:val="tab"/>
    </w:lvl>
    <w:lvl w:ilvl="3">
      <w:isLgl w:val="false"/>
      <w:lvlJc w:val="right"/>
      <w:lvlText w:val="%4."/>
      <w:numFmt w:val="decimal"/>
      <w:pPr>
        <w:pBdr/>
        <w:spacing/>
        <w:ind w:hanging="360" w:left="2869"/>
      </w:pPr>
      <w:rPr/>
      <w:start w:val="1"/>
      <w:suff w:val="tab"/>
    </w:lvl>
    <w:lvl w:ilvl="4">
      <w:isLgl w:val="false"/>
      <w:lvlJc w:val="right"/>
      <w:lvlText w:val="%5."/>
      <w:numFmt w:val="decimal"/>
      <w:pPr>
        <w:pBdr/>
        <w:spacing/>
        <w:ind w:hanging="360" w:left="3589"/>
      </w:pPr>
      <w:rPr/>
      <w:start w:val="1"/>
      <w:suff w:val="tab"/>
    </w:lvl>
    <w:lvl w:ilvl="5">
      <w:isLgl w:val="false"/>
      <w:lvlJc w:val="right"/>
      <w:lvlText w:val="%6."/>
      <w:numFmt w:val="decimal"/>
      <w:pPr>
        <w:pBdr/>
        <w:spacing/>
        <w:ind w:hanging="360" w:left="4309"/>
      </w:pPr>
      <w:rPr/>
      <w:start w:val="1"/>
      <w:suff w:val="tab"/>
    </w:lvl>
    <w:lvl w:ilvl="6">
      <w:isLgl w:val="false"/>
      <w:lvlJc w:val="right"/>
      <w:lvlText w:val="%7."/>
      <w:numFmt w:val="decimal"/>
      <w:pPr>
        <w:pBdr/>
        <w:spacing/>
        <w:ind w:hanging="360" w:left="5029"/>
      </w:pPr>
      <w:rPr/>
      <w:start w:val="1"/>
      <w:suff w:val="tab"/>
    </w:lvl>
    <w:lvl w:ilvl="7">
      <w:isLgl w:val="false"/>
      <w:lvlJc w:val="right"/>
      <w:lvlText w:val="%8."/>
      <w:numFmt w:val="decimal"/>
      <w:pPr>
        <w:pBdr/>
        <w:spacing/>
        <w:ind w:hanging="360" w:left="5749"/>
      </w:pPr>
      <w:rPr/>
      <w:start w:val="1"/>
      <w:suff w:val="tab"/>
    </w:lvl>
    <w:lvl w:ilvl="8">
      <w:isLgl w:val="false"/>
      <w:lvlJc w:val="right"/>
      <w:lvlText w:val="%9."/>
      <w:numFmt w:val="decimal"/>
      <w:pPr>
        <w:pBdr/>
        <w:spacing/>
        <w:ind w:hanging="360" w:left="6469"/>
      </w:pPr>
      <w:rPr/>
      <w:start w:val="1"/>
      <w:suff w:val="tab"/>
    </w:lvl>
  </w:abstractNum>
  <w:abstractNum w:abstractNumId="3">
    <w:nsid w:val="6384EDD5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65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febf7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65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eeb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b4d1ec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07abd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16161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eebf6" w:themeFill="accent1" w:themeFillTint="34"/>
        <w:tcBorders/>
      </w:tcPr>
    </w:tblStylePr>
    <w:tblStylePr w:type="band2Horz">
      <w:rPr>
        <w:rFonts w:ascii="Arial" w:hAnsi="Arial"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07abd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16161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Horz">
      <w:rPr>
        <w:rFonts w:ascii="Arial" w:hAnsi="Arial"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2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a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8eaa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b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67676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5aa1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6e6f4" w:themeFill="accent1" w:themeFillTint="40"/>
        <w:tcBorders/>
      </w:tcPr>
    </w:tblStylePr>
    <w:tblStylePr w:type="band2Horz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45b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b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67676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0dcf0" w:themeFill="accent5" w:themeFillTint="40"/>
        <w:tcBorders/>
      </w:tcPr>
    </w:tblStylePr>
    <w:tblStylePr w:type="band2Horz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5aa1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ce0f2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69a3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9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65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65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4"/>
    <w:next w:val="664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4"/>
    <w:next w:val="664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4"/>
    <w:next w:val="664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4"/>
    <w:next w:val="664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4"/>
    <w:next w:val="664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4"/>
    <w:next w:val="664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4"/>
    <w:next w:val="664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4"/>
    <w:next w:val="664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4"/>
    <w:next w:val="664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48" w:default="1">
    <w:name w:val="Default Paragraph Font"/>
    <w:uiPriority w:val="1"/>
    <w:semiHidden/>
    <w:unhideWhenUsed/>
    <w:pPr>
      <w:pBdr/>
      <w:spacing/>
      <w:ind/>
    </w:pPr>
  </w:style>
  <w:style w:type="character" w:styleId="150">
    <w:name w:val="Heading 1 Char"/>
    <w:basedOn w:val="148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148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148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148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148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148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148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148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148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4"/>
    <w:next w:val="664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148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4"/>
    <w:next w:val="664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148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4"/>
    <w:next w:val="664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148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148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4"/>
    <w:next w:val="664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148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148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171">
    <w:name w:val="Subtle Emphasis"/>
    <w:basedOn w:val="148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148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148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148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148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4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148"/>
    <w:link w:val="176"/>
    <w:uiPriority w:val="99"/>
    <w:pPr>
      <w:pBdr/>
      <w:spacing/>
      <w:ind/>
    </w:pPr>
  </w:style>
  <w:style w:type="paragraph" w:styleId="178">
    <w:name w:val="Footer"/>
    <w:basedOn w:val="664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148"/>
    <w:link w:val="178"/>
    <w:uiPriority w:val="99"/>
    <w:pPr>
      <w:pBdr/>
      <w:spacing/>
      <w:ind/>
    </w:pPr>
  </w:style>
  <w:style w:type="paragraph" w:styleId="180">
    <w:name w:val="Caption"/>
    <w:basedOn w:val="664"/>
    <w:next w:val="664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181">
    <w:name w:val="footnote text"/>
    <w:basedOn w:val="664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148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4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148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148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148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148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4"/>
    <w:next w:val="664"/>
    <w:uiPriority w:val="39"/>
    <w:unhideWhenUsed/>
    <w:pPr>
      <w:pBdr/>
      <w:spacing w:after="100"/>
      <w:ind/>
    </w:pPr>
  </w:style>
  <w:style w:type="paragraph" w:styleId="190">
    <w:name w:val="toc 2"/>
    <w:basedOn w:val="664"/>
    <w:next w:val="664"/>
    <w:uiPriority w:val="39"/>
    <w:unhideWhenUsed/>
    <w:pPr>
      <w:pBdr/>
      <w:spacing w:after="100"/>
      <w:ind w:left="220"/>
    </w:pPr>
  </w:style>
  <w:style w:type="paragraph" w:styleId="191">
    <w:name w:val="toc 3"/>
    <w:basedOn w:val="664"/>
    <w:next w:val="664"/>
    <w:uiPriority w:val="39"/>
    <w:unhideWhenUsed/>
    <w:pPr>
      <w:pBdr/>
      <w:spacing w:after="100"/>
      <w:ind w:left="440"/>
    </w:pPr>
  </w:style>
  <w:style w:type="paragraph" w:styleId="192">
    <w:name w:val="toc 4"/>
    <w:basedOn w:val="664"/>
    <w:next w:val="664"/>
    <w:uiPriority w:val="39"/>
    <w:unhideWhenUsed/>
    <w:pPr>
      <w:pBdr/>
      <w:spacing w:after="100"/>
      <w:ind w:left="660"/>
    </w:pPr>
  </w:style>
  <w:style w:type="paragraph" w:styleId="193">
    <w:name w:val="toc 5"/>
    <w:basedOn w:val="664"/>
    <w:next w:val="664"/>
    <w:uiPriority w:val="39"/>
    <w:unhideWhenUsed/>
    <w:pPr>
      <w:pBdr/>
      <w:spacing w:after="100"/>
      <w:ind w:left="880"/>
    </w:pPr>
  </w:style>
  <w:style w:type="paragraph" w:styleId="194">
    <w:name w:val="toc 6"/>
    <w:basedOn w:val="664"/>
    <w:next w:val="664"/>
    <w:uiPriority w:val="39"/>
    <w:unhideWhenUsed/>
    <w:pPr>
      <w:pBdr/>
      <w:spacing w:after="100"/>
      <w:ind w:left="1100"/>
    </w:pPr>
  </w:style>
  <w:style w:type="paragraph" w:styleId="195">
    <w:name w:val="toc 7"/>
    <w:basedOn w:val="664"/>
    <w:next w:val="664"/>
    <w:uiPriority w:val="39"/>
    <w:unhideWhenUsed/>
    <w:pPr>
      <w:pBdr/>
      <w:spacing w:after="100"/>
      <w:ind w:left="1320"/>
    </w:pPr>
  </w:style>
  <w:style w:type="paragraph" w:styleId="196">
    <w:name w:val="toc 8"/>
    <w:basedOn w:val="664"/>
    <w:next w:val="664"/>
    <w:uiPriority w:val="39"/>
    <w:unhideWhenUsed/>
    <w:pPr>
      <w:pBdr/>
      <w:spacing w:after="100"/>
      <w:ind w:left="1540"/>
    </w:pPr>
  </w:style>
  <w:style w:type="paragraph" w:styleId="197">
    <w:name w:val="toc 9"/>
    <w:basedOn w:val="664"/>
    <w:next w:val="664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148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4"/>
    <w:next w:val="664"/>
    <w:uiPriority w:val="99"/>
    <w:unhideWhenUsed/>
    <w:pPr>
      <w:pBdr/>
      <w:spacing w:after="0" w:afterAutospacing="0"/>
      <w:ind/>
    </w:pPr>
  </w:style>
  <w:style w:type="paragraph" w:styleId="664" w:default="1">
    <w:name w:val="Normal"/>
    <w:qFormat/>
    <w:pPr>
      <w:pBdr/>
      <w:spacing/>
      <w:ind/>
    </w:pPr>
  </w:style>
  <w:style w:type="table" w:styleId="665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666" w:default="1">
    <w:name w:val="No List"/>
    <w:uiPriority w:val="99"/>
    <w:semiHidden/>
    <w:unhideWhenUsed/>
    <w:pPr>
      <w:pBdr/>
      <w:spacing/>
      <w:ind/>
    </w:pPr>
  </w:style>
  <w:style w:type="paragraph" w:styleId="667">
    <w:name w:val="No Spacing"/>
    <w:basedOn w:val="664"/>
    <w:uiPriority w:val="1"/>
    <w:qFormat/>
    <w:pPr>
      <w:pBdr/>
      <w:spacing w:after="0" w:line="240" w:lineRule="auto"/>
      <w:ind/>
    </w:pPr>
  </w:style>
  <w:style w:type="paragraph" w:styleId="668">
    <w:name w:val="List Paragraph"/>
    <w:basedOn w:val="664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ONLYOFFICE/9.2.1.43</Application>
  <DocSecurity>0</DocSecurity>
  <ScaleCrop>0</ScaleCrop>
  <HeadingPairs>
    <vt:vector size="0" baseType="variant"/>
  </HeadingPairs>
  <TitlesOfParts>
    <vt:vector size="0" baseType="lpstr"/>
  </TitlesOfParts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2026-07-21T21:13:21Z</dcterms:modified>
</cp:coreProperties>
</file>