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W w:w="0" w:type="auto"/>
        <w:tblBorders/>
        <w:tblLook w:val="04A0" w:firstRow="1" w:lastRow="0" w:firstColumn="1" w:lastColumn="0" w:noHBand="0" w:noVBand="1"/>
      </w:tblPr>
      <w:tblGrid>
        <w:gridCol w:w="3230"/>
        <w:gridCol w:w="3230"/>
        <w:gridCol w:w="3230"/>
      </w:tblGrid>
      <w:tr>
        <w:trPr/>
        <w:tc>
          <w:tcPr>
            <w:shd w:val="clear" w:color="auto" w:fill="ffffff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sz w:val="4"/>
              </w:rPr>
              <w:t xml:space="preserve"> </w:t>
            </w:r>
            <w:r/>
          </w:p>
        </w:tc>
        <w:tc>
          <w:tcPr>
            <w:shd w:val="clear" w:color="auto" w:fill="003087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sz w:val="4"/>
              </w:rPr>
              <w:t xml:space="preserve"> </w:t>
            </w:r>
            <w:r/>
          </w:p>
        </w:tc>
        <w:tc>
          <w:tcPr>
            <w:shd w:val="clear" w:color="auto" w:fill="d52b1e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sz w:val="4"/>
              </w:rPr>
              <w:t xml:space="preserve"> </w:t>
            </w:r>
            <w:r/>
          </w:p>
        </w:tc>
      </w:tr>
    </w:tbl>
    <w:p>
      <w:pPr>
        <w:pBdr/>
        <w:spacing/>
        <w:ind/>
        <w:jc w:val="center"/>
        <w:rPr/>
      </w:pPr>
      <w:r>
        <w:rPr>
          <w:rFonts w:ascii="Times New Roman" w:hAnsi="Times New Roman" w:eastAsia="Times New Roman" w:cs="Times New Roman"/>
          <w:b/>
          <w:color w:val="1f3b73"/>
          <w:sz w:val="28"/>
        </w:rPr>
        <w:t xml:space="preserve">Самозанятость: налог на профессиональный доход (НПД)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1. Кто может стать самозанятым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с 18 лет, а с 14 лет — при письменном согласии родителей или признании дееспособным;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граждане Российской Федерации, в том числе граждане новых регионов России;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работать можно в любом регионе России;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граждане Армении, Беларуси, Казахстана, Киргизии и Украины могут применять специальный режим для налоговой отчётности.</w:t>
      </w:r>
      <w:r/>
    </w:p>
    <w:p>
      <w:pPr>
        <w:pBdr/>
        <w:spacing w:after="80"/>
        <w:ind/>
        <w:rPr/>
      </w:pPr>
      <w:r>
        <w:rPr>
          <w:rFonts w:ascii="Times New Roman" w:hAnsi="Times New Roman" w:eastAsia="Times New Roman" w:cs="Times New Roman"/>
          <w:b w:val="0"/>
          <w:i w:val="0"/>
          <w:sz w:val="24"/>
        </w:rPr>
        <w:t xml:space="preserve">Самозанятые могут заниматься любыми видами деятельности, которые не з</w:t>
      </w:r>
      <w:r>
        <w:rPr>
          <w:rFonts w:ascii="Times New Roman" w:hAnsi="Times New Roman" w:eastAsia="Times New Roman" w:cs="Times New Roman"/>
          <w:b w:val="0"/>
          <w:i w:val="0"/>
          <w:sz w:val="24"/>
        </w:rPr>
        <w:t xml:space="preserve">апрещены законом. Чёткого списка разрешённых видов деятельности в Законе № 422-ФЗ нет — перечень открытый и может пополняться. При выборе направления важно учитывать спрос и экономическую ситуацию, изучать статистические и маркетинговые отчёты по отраслям.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2. Разрешённые виды деятельности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создание и продажа сайтов, мобильных приложений, книг, сценариев, картин на заказ;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образовательные — подготовка к школе, репетиторство;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по уходу — няни, гувернантки, сиделки;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медицинские — психология, диетология, логопедия, массаж;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спортивные — тренерство, инструкторство, консультирование;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информационные — исследования, маркетинг и реклама, опросы;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по уходу за животными — груминг, вакцинация, дрессировка;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продажа товаров собственного производства — через торговые точки и онлайн, в том числе через сервисы объявлений;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работы — строительство, ремонт, отделка, реставрация, металлообработка, изготовление изделий из любых материалов;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услуги — красота и здоровье, фото, видео, печать, проведение мероприятий;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аренда жилья — комната, квартира, частный дом, услуги временного проживания;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авто — автомойка, автосервис, эвакуация и буксировка, перевозка грузов и пассажиров;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одежда — продажа меховых изделий, сумок, покрывал, декоративных подушек;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обучение — курсы по ИИ, дизайну, программированию, работе на маркетплейсах;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здоровое питание — кафе, доставка еды, услуги нутрициолога;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студия йоги;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частный детский сад.</w:t>
      </w:r>
      <w:r/>
    </w:p>
    <w:tbl>
      <w:tblPr>
        <w:tblW w:w="0" w:type="auto"/>
        <w:tblBorders/>
        <w:tblLook w:val="04A0" w:firstRow="1" w:lastRow="0" w:firstColumn="1" w:lastColumn="0" w:noHBand="0" w:noVBand="1"/>
      </w:tblPr>
      <w:tblGrid>
        <w:gridCol w:w="9689"/>
      </w:tblGrid>
      <w:tr>
        <w:trPr/>
        <w:tc>
          <w:tcPr>
            <w:shd w:val="clear" w:color="auto" w:fill="eef2f9"/>
            <w:tcBorders/>
            <w:tcW w:w="968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i/>
              </w:rPr>
              <w:t xml:space="preserve">Допустимо совмещат</w:t>
            </w:r>
            <w:r>
              <w:rPr>
                <w:rFonts w:ascii="Times New Roman" w:hAnsi="Times New Roman" w:eastAsia="Times New Roman" w:cs="Times New Roman"/>
                <w:i/>
              </w:rPr>
              <w:t xml:space="preserve">ь несколько направлений — система позволяет работать сразу по разным видам деятельности. Официального перечня видов деятельности, подпадающих под самозанятость, не существует. Ориентироваться можно по списку категорий и профессий из приложения «Мой налог».</w:t>
            </w:r>
            <w:r/>
          </w:p>
        </w:tc>
      </w:tr>
    </w:tbl>
    <w:p>
      <w:pPr>
        <w:pBdr/>
        <w:spacing w:after="40"/>
        <w:ind/>
        <w:rPr/>
      </w:pPr>
      <w:r/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br/>
        <w:t xml:space="preserve">3. Запреты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продажа подакцизных товаров и товаров, подлежащих маркировке: алкоголь, табак, бензин, легковые автомобили, некоторые виды одежды, обувь, духи, ювелирные изделия и другие;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перепродажа любых товаров не собственного производства;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добыча и (или) реализация полезных ископаемых — уголь, нефть, газ, песок, известь и так далее;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работа по договору поручения, комиссии или агентскому договору, то есть посредническая деятельность;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сдача в аренду коммерческой недвижимости, продажа недвижимости и транспортных средств;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работа курьером с приёмом денег от клиентов в интересах продавца — однако курьер может быть самозанятым, если продавец выдал ему онлайн-кассу или если клиент заранее оплатил товар, а курьеру его нужно просто доставить;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нотариусы, арбитражные управляющие, адвокаты и медиаторы самозанятыми быть не могут;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государственным и муниципальным служащим разрешено применять режим только для доходов от сдачи в аренду жилых помещений.</w:t>
      </w:r>
      <w:r/>
    </w:p>
    <w:tbl>
      <w:tblPr>
        <w:tblW w:w="0" w:type="auto"/>
        <w:tblBorders/>
        <w:tblLook w:val="04A0" w:firstRow="1" w:lastRow="0" w:firstColumn="1" w:lastColumn="0" w:noHBand="0" w:noVBand="1"/>
      </w:tblPr>
      <w:tblGrid>
        <w:gridCol w:w="9689"/>
      </w:tblGrid>
      <w:tr>
        <w:trPr/>
        <w:tc>
          <w:tcPr>
            <w:shd w:val="clear" w:color="auto" w:fill="eef2f9"/>
            <w:tcBorders/>
            <w:tcW w:w="968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i/>
              </w:rPr>
              <w:t xml:space="preserve">Важно: самозанятым запрещено нанимать сотрудников по трудовым договорам. Также есть ограничение по доходу — не более 2,4 млн рублей в год. Если сумма окажется выше, придётся перейти на другой налоговый режим и платить НДФЛ.</w:t>
            </w:r>
            <w:r/>
          </w:p>
        </w:tc>
      </w:tr>
    </w:tbl>
    <w:p>
      <w:pPr>
        <w:pBdr/>
        <w:spacing w:after="40"/>
        <w:ind/>
        <w:rPr/>
      </w:pPr>
      <w:r/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4. Документы для регистрации в 2026 году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паспорт гражданина РФ: серия, номер, дата выдачи, код подразделения. Через «Мой налог» или «Госуслуги» данные подтверждаются автоматически при наличии подтверждённой учётной записи;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ИНН — в большинстве случаев подтягивается из базы ФНС автоматически, иначе можно запросить через «Госуслуги» или сайт налоговой;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номер телефона и адрес электронной почты — для связи с налоговой и получения уведомлений.</w:t>
      </w:r>
      <w:r/>
    </w:p>
    <w:p>
      <w:pPr>
        <w:pBdr/>
        <w:spacing w:after="80"/>
        <w:ind/>
        <w:rPr/>
      </w:pPr>
      <w:r>
        <w:rPr>
          <w:rFonts w:ascii="Times New Roman" w:hAnsi="Times New Roman" w:eastAsia="Times New Roman" w:cs="Times New Roman"/>
          <w:b w:val="0"/>
          <w:i w:val="0"/>
          <w:sz w:val="24"/>
        </w:rPr>
        <w:t xml:space="preserve">Никаких справок с работы, медицинских осмотров или нотариальных заверений не требуется. Зарегистрироваться можно через «Госуслуги», в приложении «Мой налог» или на сайте ФНС.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5. Налог на профессиональный доход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4% — если платит физическое лицо;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6% — если доход получен от компании или индивидуального предпринимателя.</w:t>
      </w:r>
      <w:r/>
    </w:p>
    <w:p>
      <w:pPr>
        <w:pBdr/>
        <w:spacing w:after="80"/>
        <w:ind/>
        <w:rPr/>
      </w:pPr>
      <w:r>
        <w:rPr>
          <w:rFonts w:ascii="Times New Roman" w:hAnsi="Times New Roman" w:eastAsia="Times New Roman" w:cs="Times New Roman"/>
          <w:b w:val="0"/>
          <w:i w:val="0"/>
          <w:sz w:val="24"/>
        </w:rPr>
        <w:t xml:space="preserve">При первой регистрации действует бонус — 10 000 рублей. Пока он не израсходован, ставки снижаются до 3% и 4% соответственно.</w:t>
      </w:r>
      <w:r/>
    </w:p>
    <w:p>
      <w:pPr>
        <w:pBdr/>
        <w:spacing w:after="80"/>
        <w:ind/>
        <w:rPr/>
      </w:pPr>
      <w:r>
        <w:rPr>
          <w:rFonts w:ascii="Times New Roman" w:hAnsi="Times New Roman" w:eastAsia="Times New Roman" w:cs="Times New Roman"/>
          <w:b w:val="0"/>
          <w:i w:val="0"/>
          <w:sz w:val="24"/>
        </w:rPr>
        <w:t xml:space="preserve">Пример: Екатерина испекла свадебный торт за 8 000 рублей. Заказ от физлица — налог 4%, то есть 320 рублей. Пока действует скидка, она уплатит тольк</w:t>
      </w:r>
      <w:r>
        <w:rPr>
          <w:rFonts w:ascii="Times New Roman" w:hAnsi="Times New Roman" w:eastAsia="Times New Roman" w:cs="Times New Roman"/>
          <w:b w:val="0"/>
          <w:i w:val="0"/>
          <w:sz w:val="24"/>
        </w:rPr>
        <w:t xml:space="preserve">о 3% — 240 рублей. Разница в 80 рублей вычитается из бонуса. Сниженные ставки действуют, пока не закончится бонус, и не пропадут даже при отказе от самозанятости: остаток сохранится за налогоплательщиком и будет восстановлен после возвращения к режиму НПД.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налог начисляется с каждого полученного дохода, за который сформирован чек в приложении; деньги по другим причинам (подарок, кэшбэк) налогом не облагаются;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если в течение месяца доходов не было — платить ничего не нужно;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оплатить налог нужно до 28-го числа следующего месяца, прямо через приложение.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6. Риски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превышение лимита по доходам: при заработке свыше 2,4 млн рублей в год ФНС лишит налогового статуса — придётся уплатить НДФЛ или выбрать другую систему налогообложения;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невозможность уменьшить доходы на расходы: НПД рассчитывается только с доходов, расходы на бизнес не снижают сумму налога;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нерегулярная прибыль: доход полностью зависит от работоспособности;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нет налогового вычета: с НПД вернуть вычет не получится;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неоднозначное отношение банков: возможны проблемы при получении кредитов и ипотеки, поскольку доходы самозанятых относят к нестабильным;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риск работы с заказчиком, который маскирует трудовые отношения под гражданско-правовой договор.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7. Изменения 2026 года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добровольное социальное страхование: взносы примерно 1,3–1,9 тыс. рублей в месяц; срок программы — до 31.12.2028; регистрация возможна до 30.09.2027;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взыскание долгов через ЕНС — единый налоговый счёт;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усиление контроля за компаниями, работающими с самозанятыми.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8. Сравнение: ИП и самозанятость</w:t>
      </w:r>
      <w:r/>
    </w:p>
    <w:tbl>
      <w:tblPr>
        <w:tblW w:w="0" w:type="auto"/>
        <w:tblBorders/>
        <w:tblLook w:val="04A0" w:firstRow="1" w:lastRow="0" w:firstColumn="1" w:lastColumn="0" w:noHBand="0" w:noVBand="1"/>
      </w:tblPr>
      <w:tblGrid>
        <w:gridCol w:w="3230"/>
        <w:gridCol w:w="3230"/>
        <w:gridCol w:w="3230"/>
      </w:tblGrid>
      <w:tr>
        <w:trPr/>
        <w:tc>
          <w:tcPr>
            <w:shd w:val="clear" w:color="auto" w:fill="003087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ffffff"/>
                <w:sz w:val="22"/>
              </w:rPr>
              <w:t xml:space="preserve">Параметр</w:t>
            </w:r>
            <w:r/>
          </w:p>
        </w:tc>
        <w:tc>
          <w:tcPr>
            <w:shd w:val="clear" w:color="auto" w:fill="003087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ffffff"/>
                <w:sz w:val="22"/>
              </w:rPr>
              <w:t xml:space="preserve">ИП</w:t>
            </w:r>
            <w:r/>
          </w:p>
        </w:tc>
        <w:tc>
          <w:tcPr>
            <w:shd w:val="clear" w:color="auto" w:fill="003087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ffffff"/>
                <w:sz w:val="22"/>
              </w:rPr>
              <w:t xml:space="preserve">Самозанятый</w:t>
            </w:r>
            <w:r/>
          </w:p>
        </w:tc>
      </w:tr>
      <w:tr>
        <w:trPr/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Регистрация</w:t>
            </w:r>
            <w:r/>
          </w:p>
        </w:tc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Госпошлина 800 рублей, документы в ФНС</w:t>
            </w:r>
            <w:r/>
          </w:p>
        </w:tc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Бесплатно, онлайн через «Мой налог», «Госуслуги», сайт ФНС или банк</w:t>
            </w:r>
            <w:r/>
          </w:p>
        </w:tc>
      </w:tr>
      <w:tr>
        <w:trPr/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Лимит дохода</w:t>
            </w:r>
            <w:r/>
          </w:p>
        </w:tc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Зависит от системы налогообложения</w:t>
            </w:r>
            <w:r/>
          </w:p>
        </w:tc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Не более 2,4 млн рублей в год</w:t>
            </w:r>
            <w:r/>
          </w:p>
        </w:tc>
      </w:tr>
      <w:tr>
        <w:trPr/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Сотрудники</w:t>
            </w:r>
            <w:r/>
          </w:p>
        </w:tc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Можно нанимать</w:t>
            </w:r>
            <w:r/>
          </w:p>
        </w:tc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Запрещено нанимать по трудовым договорам</w:t>
            </w:r>
            <w:r/>
          </w:p>
        </w:tc>
      </w:tr>
      <w:tr>
        <w:trPr/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Ставки налога</w:t>
            </w:r>
            <w:r/>
          </w:p>
        </w:tc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По выбранной системе (УСН, ОСНО и др.)</w:t>
            </w:r>
            <w:r/>
          </w:p>
        </w:tc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4% с доходов от физлиц, 6% — от юрлиц и ИП</w:t>
            </w:r>
            <w:r/>
          </w:p>
        </w:tc>
      </w:tr>
      <w:tr>
        <w:trPr/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Страховые взносы</w:t>
            </w:r>
            <w:r/>
          </w:p>
        </w:tc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Фиксированные (53 658 рублей в 2025 году) + 1% с дохода свыше 300 тыс.</w:t>
            </w:r>
            <w:r/>
          </w:p>
        </w:tc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Не платит (кроме добровольного страхования)</w:t>
            </w:r>
            <w:r/>
          </w:p>
        </w:tc>
      </w:tr>
      <w:tr>
        <w:trPr/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Онлайн-касса</w:t>
            </w:r>
            <w:r/>
          </w:p>
        </w:tc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Обязательна при расчётах с физлицами</w:t>
            </w:r>
            <w:r/>
          </w:p>
        </w:tc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Не нужна, чеки формируются в приложении «Мой налог»</w:t>
            </w:r>
            <w:r/>
          </w:p>
        </w:tc>
      </w:tr>
      <w:tr>
        <w:trPr/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Учёт доходов</w:t>
            </w:r>
            <w:r/>
          </w:p>
        </w:tc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По правилам выбранной системы</w:t>
            </w:r>
            <w:r/>
          </w:p>
        </w:tc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Автоматический — налоговая видит поступления</w:t>
            </w:r>
            <w:r/>
          </w:p>
        </w:tc>
      </w:tr>
      <w:tr>
        <w:trPr/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Налоговые вычеты</w:t>
            </w:r>
            <w:r/>
          </w:p>
        </w:tc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Есть по отдельным видам налогов</w:t>
            </w:r>
            <w:r/>
          </w:p>
        </w:tc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Не предусмотрен</w:t>
            </w:r>
            <w:r/>
          </w:p>
        </w:tc>
      </w:tr>
      <w:tr>
        <w:trPr/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Совмещение с работой</w:t>
            </w:r>
            <w:r/>
          </w:p>
        </w:tc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Допускается</w:t>
            </w:r>
            <w:r/>
          </w:p>
        </w:tc>
        <w:tc>
          <w:tcPr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Допускается</w:t>
            </w:r>
            <w:r/>
          </w:p>
        </w:tc>
      </w:tr>
      <w:tr>
        <w:trPr/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Закрытие</w:t>
            </w:r>
            <w:r/>
          </w:p>
        </w:tc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По заявлению в ФНС</w:t>
            </w:r>
            <w:r/>
          </w:p>
        </w:tc>
        <w:tc>
          <w:tcPr>
            <w:shd w:val="clear" w:color="auto" w:fill="eef2f9"/>
            <w:tcBorders/>
            <w:tcW w:w="323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sz w:val="22"/>
              </w:rPr>
              <w:t xml:space="preserve">Через приложение «Мой налог», «Госуслуги» или банк</w:t>
            </w:r>
            <w:r/>
          </w:p>
        </w:tc>
      </w:tr>
    </w:tbl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9. Как стать самозанятым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через приложение «Мой налог» — регистрация за 10 минут по паспорту и ИНН;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через портал «Госуслуги» — по подтверждённой учётной записи;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через личный кабинет на сайте ФНС;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через банки-партнёры (сервис доступен примерно в 30 банках).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10. Плюсы самозанятости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минимальные налоговые ставки — 4% и 6% (3% и 4% с бонусом);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не нужны касса, бухгалтер и отчётность;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регистрация онлайн, бесплатно и без визита в налоговую;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можно совмещать с основной работой;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налог не начисляется при отсутствии дохода;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допустимо совмещать разные виды деятельности;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возможен налоговый бонус 10 000 рублей для новых плательщиков;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простое закрытие статуса через приложение;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работодатель может продолжать выплачивать пособия — статус не лишает социальных гарантий.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11. Как закрыть самозанятость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в приложении «Мой налог»: «Настройки» → «Снять статус самозанятого» — с выбором причины;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через личный кабинет на сайте ФНС;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через «Госуслуги»;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через банк-партнёр, в котором оформлялась регистрация.</w:t>
      </w:r>
      <w:r/>
    </w:p>
    <w:tbl>
      <w:tblPr>
        <w:tblW w:w="0" w:type="auto"/>
        <w:tblBorders/>
        <w:tblLook w:val="04A0" w:firstRow="1" w:lastRow="0" w:firstColumn="1" w:lastColumn="0" w:noHBand="0" w:noVBand="1"/>
      </w:tblPr>
      <w:tblGrid>
        <w:gridCol w:w="9689"/>
      </w:tblGrid>
      <w:tr>
        <w:trPr/>
        <w:tc>
          <w:tcPr>
            <w:shd w:val="clear" w:color="auto" w:fill="eef2f9"/>
            <w:tcBorders/>
            <w:tcW w:w="968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i/>
              </w:rPr>
              <w:t xml:space="preserve">Налог за последний период нужно уплатить до 25-го числа следующего месяца (ч. 3 ст. 11 Закона № 422-ФЗ, ст. 48 НК РФ).</w:t>
            </w:r>
            <w:r/>
          </w:p>
        </w:tc>
      </w:tr>
    </w:tbl>
    <w:p>
      <w:pPr>
        <w:pBdr/>
        <w:spacing w:after="40"/>
        <w:ind/>
        <w:rPr/>
      </w:pPr>
      <w:r/>
      <w:r/>
    </w:p>
    <w:p>
      <w:pPr>
        <w:pBdr/>
        <w:spacing w:after="80" w:before="200"/>
        <w:ind/>
        <w:rPr/>
      </w:pPr>
      <w:r>
        <w:rPr>
          <w:rFonts w:ascii="Times New Roman" w:hAnsi="Times New Roman" w:eastAsia="Times New Roman" w:cs="Times New Roman"/>
          <w:b/>
          <w:color w:val="1f3b73"/>
          <w:sz w:val="26"/>
        </w:rPr>
        <w:t xml:space="preserve">12. Риски при отсутствии дохода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статус плательщика НПД аннулируется автоматически, если в течение 36 месяцев подряд не было дохода;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при отсутствии дохода перестают начисляться взносы на добровольное социальное страхование — перерыв в страховом стаже;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самозанятость не даёт больничных, декретных и пенсионных накоплений, если не оформлено добровольное страхование;</w:t>
      </w:r>
      <w:r/>
    </w:p>
    <w:p>
      <w:pPr>
        <w:pStyle w:val="723"/>
        <w:pBdr/>
        <w:spacing w:after="60"/>
        <w:ind/>
        <w:rPr/>
      </w:pPr>
      <w:r>
        <w:rPr>
          <w:rFonts w:ascii="Times New Roman" w:hAnsi="Times New Roman" w:eastAsia="Times New Roman" w:cs="Times New Roman"/>
        </w:rPr>
        <w:t xml:space="preserve">при потере дохода можно претендовать на социальный контракт — единовременную помощь от государства на развитие дела.</w:t>
      </w:r>
      <w:r/>
    </w:p>
    <w:p>
      <w:pPr>
        <w:pBdr/>
        <w:spacing w:after="80"/>
        <w:ind/>
        <w:rPr/>
      </w:pPr>
      <w:r>
        <w:rPr>
          <w:rFonts w:ascii="Times New Roman" w:hAnsi="Times New Roman" w:eastAsia="Times New Roman" w:cs="Times New Roman"/>
          <w:b w:val="0"/>
          <w:i w:val="0"/>
          <w:sz w:val="24"/>
        </w:rPr>
        <w:t xml:space="preserve">Статус сохраняется, пока гражданин не снимет его сам — это удобнее, чем закрытие ИП: не нужно платить пошлины и подавать документы лично.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jc w:val="center"/>
        <w:rPr/>
      </w:pPr>
      <w:r>
        <w:rPr>
          <w:rFonts w:ascii="Times New Roman" w:hAnsi="Times New Roman" w:eastAsia="Times New Roman" w:cs="Times New Roman"/>
          <w:i/>
          <w:sz w:val="20"/>
        </w:rPr>
        <w:t xml:space="preserve">Актуально на 2026 год. Документ носит справочный характер и не заменяет нормы законодательства.</w:t>
      </w:r>
      <w:r/>
    </w:p>
    <w:sectPr>
      <w:footnotePr/>
      <w:endnotePr/>
      <w:type w:val="nextPage"/>
      <w:pgSz w:h="15840" w:orient="portrait" w:w="12240"/>
      <w:pgMar w:top="1134" w:right="850" w:bottom="1134" w:left="1701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FFFFFF7E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pStyle w:val="728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FFFFFF7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pStyle w:val="727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FFFFFF81"/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Times New Roman" w:hAnsi="Times New Roman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FFFFFF82"/>
    <w:lvl w:ilvl="0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60" w:left="1080"/>
      </w:pPr>
      <w:pStyle w:val="725"/>
      <w:rPr>
        <w:rFonts w:hint="default" w:ascii="Times New Roman" w:hAnsi="Times New Roman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FFFFFF83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pStyle w:val="724"/>
      <w:rPr>
        <w:rFonts w:hint="default" w:ascii="Times New Roman" w:hAnsi="Times New Roman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FFFFFF88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pStyle w:val="726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FFFFFF89"/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pStyle w:val="723"/>
      <w:rPr>
        <w:rFonts w:hint="default" w:ascii="Times New Roman" w:hAnsi="Times New Roman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81">
    <w:name w:val="footnote text"/>
    <w:basedOn w:val="688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02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02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88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02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02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7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7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88"/>
    <w:next w:val="688"/>
    <w:uiPriority w:val="39"/>
    <w:unhideWhenUsed/>
    <w:pPr>
      <w:pBdr/>
      <w:spacing w:after="100"/>
      <w:ind/>
    </w:pPr>
  </w:style>
  <w:style w:type="paragraph" w:styleId="190">
    <w:name w:val="toc 2"/>
    <w:basedOn w:val="688"/>
    <w:next w:val="688"/>
    <w:uiPriority w:val="39"/>
    <w:unhideWhenUsed/>
    <w:pPr>
      <w:pBdr/>
      <w:spacing w:after="100"/>
      <w:ind w:left="220"/>
    </w:pPr>
  </w:style>
  <w:style w:type="paragraph" w:styleId="191">
    <w:name w:val="toc 3"/>
    <w:basedOn w:val="688"/>
    <w:next w:val="688"/>
    <w:uiPriority w:val="39"/>
    <w:unhideWhenUsed/>
    <w:pPr>
      <w:pBdr/>
      <w:spacing w:after="100"/>
      <w:ind w:left="440"/>
    </w:pPr>
  </w:style>
  <w:style w:type="paragraph" w:styleId="192">
    <w:name w:val="toc 4"/>
    <w:basedOn w:val="688"/>
    <w:next w:val="688"/>
    <w:uiPriority w:val="39"/>
    <w:unhideWhenUsed/>
    <w:pPr>
      <w:pBdr/>
      <w:spacing w:after="100"/>
      <w:ind w:left="660"/>
    </w:pPr>
  </w:style>
  <w:style w:type="paragraph" w:styleId="193">
    <w:name w:val="toc 5"/>
    <w:basedOn w:val="688"/>
    <w:next w:val="688"/>
    <w:uiPriority w:val="39"/>
    <w:unhideWhenUsed/>
    <w:pPr>
      <w:pBdr/>
      <w:spacing w:after="100"/>
      <w:ind w:left="880"/>
    </w:pPr>
  </w:style>
  <w:style w:type="paragraph" w:styleId="194">
    <w:name w:val="toc 6"/>
    <w:basedOn w:val="688"/>
    <w:next w:val="688"/>
    <w:uiPriority w:val="39"/>
    <w:unhideWhenUsed/>
    <w:pPr>
      <w:pBdr/>
      <w:spacing w:after="100"/>
      <w:ind w:left="1100"/>
    </w:pPr>
  </w:style>
  <w:style w:type="paragraph" w:styleId="195">
    <w:name w:val="toc 7"/>
    <w:basedOn w:val="688"/>
    <w:next w:val="688"/>
    <w:uiPriority w:val="39"/>
    <w:unhideWhenUsed/>
    <w:pPr>
      <w:pBdr/>
      <w:spacing w:after="100"/>
      <w:ind w:left="1320"/>
    </w:pPr>
  </w:style>
  <w:style w:type="paragraph" w:styleId="196">
    <w:name w:val="toc 8"/>
    <w:basedOn w:val="688"/>
    <w:next w:val="688"/>
    <w:uiPriority w:val="39"/>
    <w:unhideWhenUsed/>
    <w:pPr>
      <w:pBdr/>
      <w:spacing w:after="100"/>
      <w:ind w:left="1540"/>
    </w:pPr>
  </w:style>
  <w:style w:type="paragraph" w:styleId="197">
    <w:name w:val="toc 9"/>
    <w:basedOn w:val="688"/>
    <w:next w:val="68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02"/>
    <w:uiPriority w:val="99"/>
    <w:semiHidden/>
    <w:pPr>
      <w:pBdr/>
      <w:spacing/>
      <w:ind/>
    </w:pPr>
    <w:rPr>
      <w:color w:val="666666"/>
    </w:rPr>
  </w:style>
  <w:style w:type="paragraph" w:styleId="209">
    <w:name w:val="table of figures"/>
    <w:basedOn w:val="688"/>
    <w:next w:val="688"/>
    <w:uiPriority w:val="99"/>
    <w:unhideWhenUsed/>
    <w:pPr>
      <w:pBdr/>
      <w:spacing w:after="0" w:afterAutospacing="0"/>
      <w:ind/>
    </w:pPr>
  </w:style>
  <w:style w:type="paragraph" w:styleId="688" w:default="1">
    <w:name w:val="Normal"/>
    <w:qFormat/>
    <w:pPr>
      <w:pBdr/>
      <w:spacing/>
      <w:ind/>
    </w:pPr>
    <w:rPr>
      <w:rFonts w:ascii="Times New Roman" w:hAnsi="Times New Roman"/>
      <w:sz w:val="24"/>
    </w:rPr>
  </w:style>
  <w:style w:type="paragraph" w:styleId="689">
    <w:name w:val="Header"/>
    <w:basedOn w:val="688"/>
    <w:link w:val="69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690" w:customStyle="1">
    <w:name w:val="Header Char"/>
    <w:basedOn w:val="702"/>
    <w:link w:val="689"/>
    <w:uiPriority w:val="99"/>
    <w:pPr>
      <w:pBdr/>
      <w:spacing/>
      <w:ind/>
    </w:pPr>
  </w:style>
  <w:style w:type="paragraph" w:styleId="691">
    <w:name w:val="Footer"/>
    <w:basedOn w:val="688"/>
    <w:link w:val="69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692" w:customStyle="1">
    <w:name w:val="Footer Char"/>
    <w:basedOn w:val="702"/>
    <w:link w:val="691"/>
    <w:uiPriority w:val="99"/>
    <w:pPr>
      <w:pBdr/>
      <w:spacing/>
      <w:ind/>
    </w:pPr>
  </w:style>
  <w:style w:type="paragraph" w:styleId="693">
    <w:name w:val="Heading 1"/>
    <w:basedOn w:val="688"/>
    <w:next w:val="688"/>
    <w:link w:val="706"/>
    <w:uiPriority w:val="9"/>
    <w:qFormat/>
    <w:pPr>
      <w:keepNext w:val="true"/>
      <w:keepLines w:val="true"/>
      <w:pBdr/>
      <w:spacing w:after="0" w:before="480"/>
      <w:ind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94">
    <w:name w:val="Heading 2"/>
    <w:basedOn w:val="688"/>
    <w:next w:val="688"/>
    <w:link w:val="707"/>
    <w:uiPriority w:val="9"/>
    <w:unhideWhenUsed/>
    <w:qFormat/>
    <w:pPr>
      <w:keepNext w:val="true"/>
      <w:keepLines w:val="true"/>
      <w:pBdr/>
      <w:spacing w:after="0" w:before="200"/>
      <w:ind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95">
    <w:name w:val="Heading 3"/>
    <w:basedOn w:val="688"/>
    <w:next w:val="688"/>
    <w:link w:val="708"/>
    <w:uiPriority w:val="9"/>
    <w:unhideWhenUsed/>
    <w:qFormat/>
    <w:pPr>
      <w:keepNext w:val="true"/>
      <w:keepLines w:val="true"/>
      <w:pBdr/>
      <w:spacing w:after="0" w:before="200"/>
      <w:ind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696">
    <w:name w:val="Heading 4"/>
    <w:basedOn w:val="688"/>
    <w:next w:val="688"/>
    <w:link w:val="736"/>
    <w:uiPriority w:val="9"/>
    <w:semiHidden/>
    <w:unhideWhenUsed/>
    <w:qFormat/>
    <w:pPr>
      <w:keepNext w:val="true"/>
      <w:keepLines w:val="true"/>
      <w:pBdr/>
      <w:spacing w:after="0" w:before="200"/>
      <w:ind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697">
    <w:name w:val="Heading 5"/>
    <w:basedOn w:val="688"/>
    <w:next w:val="688"/>
    <w:link w:val="737"/>
    <w:uiPriority w:val="9"/>
    <w:semiHidden/>
    <w:unhideWhenUsed/>
    <w:qFormat/>
    <w:pPr>
      <w:keepNext w:val="true"/>
      <w:keepLines w:val="true"/>
      <w:pBdr/>
      <w:spacing w:after="0" w:before="200"/>
      <w:ind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698">
    <w:name w:val="Heading 6"/>
    <w:basedOn w:val="688"/>
    <w:next w:val="688"/>
    <w:link w:val="738"/>
    <w:uiPriority w:val="9"/>
    <w:semiHidden/>
    <w:unhideWhenUsed/>
    <w:qFormat/>
    <w:pPr>
      <w:keepNext w:val="true"/>
      <w:keepLines w:val="true"/>
      <w:pBdr/>
      <w:spacing w:after="0" w:before="200"/>
      <w:ind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699">
    <w:name w:val="Heading 7"/>
    <w:basedOn w:val="688"/>
    <w:next w:val="688"/>
    <w:link w:val="739"/>
    <w:uiPriority w:val="9"/>
    <w:semiHidden/>
    <w:unhideWhenUsed/>
    <w:qFormat/>
    <w:pPr>
      <w:keepNext w:val="true"/>
      <w:keepLines w:val="true"/>
      <w:pBdr/>
      <w:spacing w:after="0" w:before="200"/>
      <w:ind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700">
    <w:name w:val="Heading 8"/>
    <w:basedOn w:val="688"/>
    <w:next w:val="688"/>
    <w:link w:val="740"/>
    <w:uiPriority w:val="9"/>
    <w:semiHidden/>
    <w:unhideWhenUsed/>
    <w:qFormat/>
    <w:pPr>
      <w:keepNext w:val="true"/>
      <w:keepLines w:val="true"/>
      <w:pBdr/>
      <w:spacing w:after="0" w:before="200"/>
      <w:ind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701">
    <w:name w:val="Heading 9"/>
    <w:basedOn w:val="688"/>
    <w:next w:val="688"/>
    <w:link w:val="741"/>
    <w:uiPriority w:val="9"/>
    <w:semiHidden/>
    <w:unhideWhenUsed/>
    <w:qFormat/>
    <w:pPr>
      <w:keepNext w:val="true"/>
      <w:keepLines w:val="true"/>
      <w:pBdr/>
      <w:spacing w:after="0" w:before="200"/>
      <w:ind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702" w:default="1">
    <w:name w:val="Default Paragraph Font"/>
    <w:uiPriority w:val="1"/>
    <w:semiHidden/>
    <w:unhideWhenUsed/>
    <w:pPr>
      <w:pBdr/>
      <w:spacing/>
      <w:ind/>
    </w:pPr>
  </w:style>
  <w:style w:type="table" w:styleId="70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4" w:default="1">
    <w:name w:val="No List"/>
    <w:uiPriority w:val="99"/>
    <w:semiHidden/>
    <w:unhideWhenUsed/>
    <w:pPr>
      <w:pBdr/>
      <w:spacing/>
      <w:ind/>
    </w:pPr>
  </w:style>
  <w:style w:type="paragraph" w:styleId="705">
    <w:name w:val="No Spacing"/>
    <w:uiPriority w:val="1"/>
    <w:qFormat/>
    <w:pPr>
      <w:pBdr/>
      <w:spacing w:after="0" w:line="240" w:lineRule="auto"/>
      <w:ind/>
    </w:pPr>
  </w:style>
  <w:style w:type="character" w:styleId="706" w:customStyle="1">
    <w:name w:val="Heading 1 Char"/>
    <w:basedOn w:val="702"/>
    <w:link w:val="693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707" w:customStyle="1">
    <w:name w:val="Heading 2 Char"/>
    <w:basedOn w:val="702"/>
    <w:link w:val="694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708" w:customStyle="1">
    <w:name w:val="Heading 3 Char"/>
    <w:basedOn w:val="702"/>
    <w:link w:val="695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709">
    <w:name w:val="Title"/>
    <w:basedOn w:val="688"/>
    <w:next w:val="688"/>
    <w:link w:val="710"/>
    <w:uiPriority w:val="10"/>
    <w:qFormat/>
    <w:pPr>
      <w:pBdr>
        <w:bottom w:val="single" w:color="4f81bd" w:themeColor="accent1" w:sz="8" w:space="4"/>
      </w:pBdr>
      <w:spacing w:after="300" w:line="240" w:lineRule="auto"/>
      <w:ind/>
      <w:contextualSpacing w:val="true"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character" w:styleId="710" w:customStyle="1">
    <w:name w:val="Title Char"/>
    <w:basedOn w:val="702"/>
    <w:link w:val="709"/>
    <w:uiPriority w:val="10"/>
    <w:pPr>
      <w:pBdr/>
      <w:spacing/>
      <w:ind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paragraph" w:styleId="711">
    <w:name w:val="Subtitle"/>
    <w:basedOn w:val="688"/>
    <w:next w:val="688"/>
    <w:link w:val="712"/>
    <w:uiPriority w:val="11"/>
    <w:qFormat/>
    <w:pPr>
      <w:numPr>
        <w:ilvl w:val="1"/>
      </w:num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712" w:customStyle="1">
    <w:name w:val="Subtitle Char"/>
    <w:basedOn w:val="702"/>
    <w:link w:val="711"/>
    <w:uiPriority w:val="11"/>
    <w:p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713">
    <w:name w:val="List Paragraph"/>
    <w:basedOn w:val="688"/>
    <w:uiPriority w:val="34"/>
    <w:qFormat/>
    <w:pPr>
      <w:pBdr/>
      <w:spacing/>
      <w:ind w:left="720"/>
      <w:contextualSpacing w:val="true"/>
    </w:pPr>
  </w:style>
  <w:style w:type="paragraph" w:styleId="714">
    <w:name w:val="Body Text"/>
    <w:basedOn w:val="688"/>
    <w:link w:val="715"/>
    <w:uiPriority w:val="99"/>
    <w:unhideWhenUsed/>
    <w:pPr>
      <w:pBdr/>
      <w:spacing w:after="120"/>
      <w:ind/>
    </w:pPr>
  </w:style>
  <w:style w:type="character" w:styleId="715" w:customStyle="1">
    <w:name w:val="Body Text Char"/>
    <w:basedOn w:val="702"/>
    <w:link w:val="714"/>
    <w:uiPriority w:val="99"/>
    <w:pPr>
      <w:pBdr/>
      <w:spacing/>
      <w:ind/>
    </w:pPr>
  </w:style>
  <w:style w:type="paragraph" w:styleId="716">
    <w:name w:val="Body Text 2"/>
    <w:basedOn w:val="688"/>
    <w:link w:val="717"/>
    <w:uiPriority w:val="99"/>
    <w:unhideWhenUsed/>
    <w:pPr>
      <w:pBdr/>
      <w:spacing w:after="120" w:line="480" w:lineRule="auto"/>
      <w:ind/>
    </w:pPr>
  </w:style>
  <w:style w:type="character" w:styleId="717" w:customStyle="1">
    <w:name w:val="Body Text 2 Char"/>
    <w:basedOn w:val="702"/>
    <w:link w:val="716"/>
    <w:uiPriority w:val="99"/>
    <w:pPr>
      <w:pBdr/>
      <w:spacing/>
      <w:ind/>
    </w:pPr>
  </w:style>
  <w:style w:type="paragraph" w:styleId="718">
    <w:name w:val="Body Text 3"/>
    <w:basedOn w:val="688"/>
    <w:link w:val="719"/>
    <w:uiPriority w:val="99"/>
    <w:unhideWhenUsed/>
    <w:pPr>
      <w:pBdr/>
      <w:spacing w:after="120"/>
      <w:ind/>
    </w:pPr>
    <w:rPr>
      <w:sz w:val="16"/>
      <w:szCs w:val="16"/>
    </w:rPr>
  </w:style>
  <w:style w:type="character" w:styleId="719" w:customStyle="1">
    <w:name w:val="Body Text 3 Char"/>
    <w:basedOn w:val="702"/>
    <w:link w:val="718"/>
    <w:uiPriority w:val="99"/>
    <w:pPr>
      <w:pBdr/>
      <w:spacing/>
      <w:ind/>
    </w:pPr>
    <w:rPr>
      <w:sz w:val="16"/>
      <w:szCs w:val="16"/>
    </w:rPr>
  </w:style>
  <w:style w:type="paragraph" w:styleId="720">
    <w:name w:val="List"/>
    <w:basedOn w:val="688"/>
    <w:uiPriority w:val="99"/>
    <w:unhideWhenUsed/>
    <w:pPr>
      <w:pBdr/>
      <w:spacing/>
      <w:ind w:hanging="360" w:left="360"/>
      <w:contextualSpacing w:val="true"/>
    </w:pPr>
  </w:style>
  <w:style w:type="paragraph" w:styleId="721">
    <w:name w:val="List 2"/>
    <w:basedOn w:val="688"/>
    <w:uiPriority w:val="99"/>
    <w:unhideWhenUsed/>
    <w:pPr>
      <w:pBdr/>
      <w:spacing/>
      <w:ind w:hanging="360" w:left="720"/>
      <w:contextualSpacing w:val="true"/>
    </w:pPr>
  </w:style>
  <w:style w:type="paragraph" w:styleId="722">
    <w:name w:val="List 3"/>
    <w:basedOn w:val="688"/>
    <w:uiPriority w:val="99"/>
    <w:unhideWhenUsed/>
    <w:pPr>
      <w:pBdr/>
      <w:spacing/>
      <w:ind w:hanging="360" w:left="1080"/>
      <w:contextualSpacing w:val="true"/>
    </w:pPr>
  </w:style>
  <w:style w:type="paragraph" w:styleId="723">
    <w:name w:val="List Bullet"/>
    <w:basedOn w:val="688"/>
    <w:uiPriority w:val="99"/>
    <w:unhideWhenUsed/>
    <w:pPr>
      <w:numPr>
        <w:numId w:val="1"/>
      </w:numPr>
      <w:pBdr/>
      <w:spacing/>
      <w:ind/>
      <w:contextualSpacing w:val="true"/>
    </w:pPr>
  </w:style>
  <w:style w:type="paragraph" w:styleId="724">
    <w:name w:val="List Bullet 2"/>
    <w:basedOn w:val="688"/>
    <w:uiPriority w:val="99"/>
    <w:unhideWhenUsed/>
    <w:pPr>
      <w:numPr>
        <w:numId w:val="2"/>
      </w:numPr>
      <w:pBdr/>
      <w:spacing/>
      <w:ind/>
      <w:contextualSpacing w:val="true"/>
    </w:pPr>
  </w:style>
  <w:style w:type="paragraph" w:styleId="725">
    <w:name w:val="List Bullet 3"/>
    <w:basedOn w:val="688"/>
    <w:uiPriority w:val="99"/>
    <w:unhideWhenUsed/>
    <w:pPr>
      <w:numPr>
        <w:numId w:val="3"/>
      </w:numPr>
      <w:pBdr/>
      <w:spacing/>
      <w:ind/>
      <w:contextualSpacing w:val="true"/>
    </w:pPr>
  </w:style>
  <w:style w:type="paragraph" w:styleId="726">
    <w:name w:val="List Number"/>
    <w:basedOn w:val="688"/>
    <w:uiPriority w:val="99"/>
    <w:unhideWhenUsed/>
    <w:pPr>
      <w:numPr>
        <w:numId w:val="5"/>
      </w:numPr>
      <w:pBdr/>
      <w:spacing/>
      <w:ind/>
      <w:contextualSpacing w:val="true"/>
    </w:pPr>
  </w:style>
  <w:style w:type="paragraph" w:styleId="727">
    <w:name w:val="List Number 2"/>
    <w:basedOn w:val="688"/>
    <w:uiPriority w:val="99"/>
    <w:unhideWhenUsed/>
    <w:pPr>
      <w:numPr>
        <w:numId w:val="6"/>
      </w:numPr>
      <w:pBdr/>
      <w:spacing/>
      <w:ind/>
      <w:contextualSpacing w:val="true"/>
    </w:pPr>
  </w:style>
  <w:style w:type="paragraph" w:styleId="728">
    <w:name w:val="List Number 3"/>
    <w:basedOn w:val="688"/>
    <w:uiPriority w:val="99"/>
    <w:unhideWhenUsed/>
    <w:pPr>
      <w:numPr>
        <w:numId w:val="7"/>
      </w:numPr>
      <w:pBdr/>
      <w:spacing/>
      <w:ind/>
      <w:contextualSpacing w:val="true"/>
    </w:pPr>
  </w:style>
  <w:style w:type="paragraph" w:styleId="729">
    <w:name w:val="List Continue"/>
    <w:basedOn w:val="688"/>
    <w:uiPriority w:val="99"/>
    <w:unhideWhenUsed/>
    <w:pPr>
      <w:pBdr/>
      <w:spacing w:after="120"/>
      <w:ind w:left="360"/>
      <w:contextualSpacing w:val="true"/>
    </w:pPr>
  </w:style>
  <w:style w:type="paragraph" w:styleId="730">
    <w:name w:val="List Continue 2"/>
    <w:basedOn w:val="688"/>
    <w:uiPriority w:val="99"/>
    <w:unhideWhenUsed/>
    <w:pPr>
      <w:pBdr/>
      <w:spacing w:after="120"/>
      <w:ind w:left="720"/>
      <w:contextualSpacing w:val="true"/>
    </w:pPr>
  </w:style>
  <w:style w:type="paragraph" w:styleId="731">
    <w:name w:val="List Continue 3"/>
    <w:basedOn w:val="688"/>
    <w:uiPriority w:val="99"/>
    <w:unhideWhenUsed/>
    <w:pPr>
      <w:pBdr/>
      <w:spacing w:after="120"/>
      <w:ind w:left="1080"/>
      <w:contextualSpacing w:val="true"/>
    </w:pPr>
  </w:style>
  <w:style w:type="paragraph" w:styleId="732">
    <w:name w:val="macro"/>
    <w:link w:val="733"/>
    <w:uiPriority w:val="99"/>
    <w:unhideWhenUsed/>
    <w:pPr>
      <w:pBdr/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  <w:spacing/>
      <w:ind/>
    </w:pPr>
    <w:rPr>
      <w:rFonts w:ascii="Times New Roman" w:hAnsi="Times New Roman"/>
      <w:sz w:val="20"/>
      <w:szCs w:val="20"/>
    </w:rPr>
  </w:style>
  <w:style w:type="character" w:styleId="733" w:customStyle="1">
    <w:name w:val="Macro Text Char"/>
    <w:basedOn w:val="702"/>
    <w:link w:val="732"/>
    <w:uiPriority w:val="99"/>
    <w:pPr>
      <w:pBdr/>
      <w:spacing/>
      <w:ind/>
    </w:pPr>
    <w:rPr>
      <w:rFonts w:ascii="Times New Roman" w:hAnsi="Times New Roman"/>
      <w:sz w:val="20"/>
      <w:szCs w:val="20"/>
    </w:rPr>
  </w:style>
  <w:style w:type="paragraph" w:styleId="734">
    <w:name w:val="Quote"/>
    <w:basedOn w:val="688"/>
    <w:next w:val="688"/>
    <w:link w:val="735"/>
    <w:uiPriority w:val="29"/>
    <w:qFormat/>
    <w:pPr>
      <w:pBdr/>
      <w:spacing/>
      <w:ind/>
    </w:pPr>
    <w:rPr>
      <w:i/>
      <w:iCs/>
      <w:color w:val="000000" w:themeColor="text1"/>
    </w:rPr>
  </w:style>
  <w:style w:type="character" w:styleId="735" w:customStyle="1">
    <w:name w:val="Quote Char"/>
    <w:basedOn w:val="702"/>
    <w:link w:val="734"/>
    <w:uiPriority w:val="29"/>
    <w:pPr>
      <w:pBdr/>
      <w:spacing/>
      <w:ind/>
    </w:pPr>
    <w:rPr>
      <w:i/>
      <w:iCs/>
      <w:color w:val="000000" w:themeColor="text1"/>
    </w:rPr>
  </w:style>
  <w:style w:type="character" w:styleId="736" w:customStyle="1">
    <w:name w:val="Heading 4 Char"/>
    <w:basedOn w:val="702"/>
    <w:link w:val="696"/>
    <w:uiPriority w:val="9"/>
    <w:semiHidden/>
    <w:pPr>
      <w:pBdr/>
      <w:spacing/>
      <w:ind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737" w:customStyle="1">
    <w:name w:val="Heading 5 Char"/>
    <w:basedOn w:val="702"/>
    <w:link w:val="69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738" w:customStyle="1">
    <w:name w:val="Heading 6 Char"/>
    <w:basedOn w:val="702"/>
    <w:link w:val="698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739" w:customStyle="1">
    <w:name w:val="Heading 7 Char"/>
    <w:basedOn w:val="702"/>
    <w:link w:val="699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740" w:customStyle="1">
    <w:name w:val="Heading 8 Char"/>
    <w:basedOn w:val="702"/>
    <w:link w:val="70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741" w:customStyle="1">
    <w:name w:val="Heading 9 Char"/>
    <w:basedOn w:val="702"/>
    <w:link w:val="701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742">
    <w:name w:val="Caption"/>
    <w:basedOn w:val="688"/>
    <w:next w:val="688"/>
    <w:uiPriority w:val="35"/>
    <w:semiHidden/>
    <w:unhideWhenUsed/>
    <w:qFormat/>
    <w:pPr>
      <w:pBdr/>
      <w:spacing w:line="240" w:lineRule="auto"/>
      <w:ind/>
    </w:pPr>
    <w:rPr>
      <w:b/>
      <w:bCs/>
      <w:color w:val="4f81bd" w:themeColor="accent1"/>
      <w:sz w:val="18"/>
      <w:szCs w:val="18"/>
    </w:rPr>
  </w:style>
  <w:style w:type="character" w:styleId="743">
    <w:name w:val="Strong"/>
    <w:basedOn w:val="702"/>
    <w:uiPriority w:val="22"/>
    <w:qFormat/>
    <w:pPr>
      <w:pBdr/>
      <w:spacing/>
      <w:ind/>
    </w:pPr>
    <w:rPr>
      <w:b/>
      <w:bCs/>
    </w:rPr>
  </w:style>
  <w:style w:type="character" w:styleId="744">
    <w:name w:val="Emphasis"/>
    <w:basedOn w:val="702"/>
    <w:uiPriority w:val="20"/>
    <w:qFormat/>
    <w:pPr>
      <w:pBdr/>
      <w:spacing/>
      <w:ind/>
    </w:pPr>
    <w:rPr>
      <w:i/>
      <w:iCs/>
    </w:rPr>
  </w:style>
  <w:style w:type="paragraph" w:styleId="745">
    <w:name w:val="Intense Quote"/>
    <w:basedOn w:val="688"/>
    <w:next w:val="688"/>
    <w:link w:val="746"/>
    <w:uiPriority w:val="30"/>
    <w:qFormat/>
    <w:pPr>
      <w:pBdr>
        <w:bottom w:val="single" w:color="4f81bd" w:themeColor="accent1" w:sz="4" w:space="4"/>
      </w:pBdr>
      <w:spacing w:after="280" w:before="200"/>
      <w:ind w:right="936" w:left="936"/>
    </w:pPr>
    <w:rPr>
      <w:b/>
      <w:bCs/>
      <w:i/>
      <w:iCs/>
      <w:color w:val="4f81bd" w:themeColor="accent1"/>
    </w:rPr>
  </w:style>
  <w:style w:type="character" w:styleId="746" w:customStyle="1">
    <w:name w:val="Intense Quote Char"/>
    <w:basedOn w:val="702"/>
    <w:link w:val="745"/>
    <w:uiPriority w:val="30"/>
    <w:pPr>
      <w:pBdr/>
      <w:spacing/>
      <w:ind/>
    </w:pPr>
    <w:rPr>
      <w:b/>
      <w:bCs/>
      <w:i/>
      <w:iCs/>
      <w:color w:val="4f81bd" w:themeColor="accent1"/>
    </w:rPr>
  </w:style>
  <w:style w:type="character" w:styleId="747">
    <w:name w:val="Subtle Emphasis"/>
    <w:basedOn w:val="702"/>
    <w:uiPriority w:val="19"/>
    <w:qFormat/>
    <w:pPr>
      <w:pBdr/>
      <w:spacing/>
      <w:ind/>
    </w:pPr>
    <w:rPr>
      <w:i/>
      <w:iCs/>
      <w:color w:val="808080" w:themeColor="text1" w:themeTint="7F"/>
    </w:rPr>
  </w:style>
  <w:style w:type="character" w:styleId="748">
    <w:name w:val="Intense Emphasis"/>
    <w:basedOn w:val="702"/>
    <w:uiPriority w:val="21"/>
    <w:qFormat/>
    <w:pPr>
      <w:pBdr/>
      <w:spacing/>
      <w:ind/>
    </w:pPr>
    <w:rPr>
      <w:b/>
      <w:bCs/>
      <w:i/>
      <w:iCs/>
      <w:color w:val="4f81bd" w:themeColor="accent1"/>
    </w:rPr>
  </w:style>
  <w:style w:type="character" w:styleId="749">
    <w:name w:val="Subtle Reference"/>
    <w:basedOn w:val="702"/>
    <w:uiPriority w:val="31"/>
    <w:qFormat/>
    <w:pPr>
      <w:pBdr/>
      <w:spacing/>
      <w:ind/>
    </w:pPr>
    <w:rPr>
      <w:smallCaps/>
      <w:color w:val="c0504d" w:themeColor="accent2"/>
      <w:u w:val="single"/>
    </w:rPr>
  </w:style>
  <w:style w:type="character" w:styleId="750">
    <w:name w:val="Intense Reference"/>
    <w:basedOn w:val="702"/>
    <w:uiPriority w:val="32"/>
    <w:qFormat/>
    <w:pPr>
      <w:pBdr/>
      <w:spacing/>
      <w:ind/>
    </w:pPr>
    <w:rPr>
      <w:b/>
      <w:bCs/>
      <w:smallCaps/>
      <w:color w:val="c0504d" w:themeColor="accent2"/>
      <w:spacing w:val="5"/>
      <w:u w:val="single"/>
    </w:rPr>
  </w:style>
  <w:style w:type="character" w:styleId="751">
    <w:name w:val="Book Title"/>
    <w:basedOn w:val="702"/>
    <w:uiPriority w:val="33"/>
    <w:qFormat/>
    <w:pPr>
      <w:pBdr/>
      <w:spacing/>
      <w:ind/>
    </w:pPr>
    <w:rPr>
      <w:b/>
      <w:bCs/>
      <w:smallCaps/>
      <w:spacing w:val="5"/>
    </w:rPr>
  </w:style>
  <w:style w:type="paragraph" w:styleId="752">
    <w:name w:val="TOC Heading"/>
    <w:basedOn w:val="693"/>
    <w:next w:val="688"/>
    <w:uiPriority w:val="39"/>
    <w:semiHidden/>
    <w:unhideWhenUsed/>
    <w:qFormat/>
    <w:pPr>
      <w:pBdr/>
      <w:spacing/>
      <w:ind/>
      <w:outlineLvl w:val="9"/>
    </w:pPr>
  </w:style>
  <w:style w:type="table" w:styleId="753">
    <w:name w:val="Table Grid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ght Shading"/>
    <w:basedOn w:val="703"/>
    <w:uiPriority w:val="60"/>
    <w:pPr>
      <w:pBdr/>
      <w:spacing w:after="0" w:line="240" w:lineRule="auto"/>
      <w:ind/>
    </w:pPr>
    <w:rPr>
      <w:color w:val="000000" w:themeColor="tex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ght Shading Accent 1"/>
    <w:basedOn w:val="703"/>
    <w:uiPriority w:val="60"/>
    <w:pPr>
      <w:pBdr/>
      <w:spacing w:after="0" w:line="240" w:lineRule="auto"/>
      <w:ind/>
    </w:pPr>
    <w:rPr>
      <w:color w:val="365f91" w:themeColor="accen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ght Shading Accent 2"/>
    <w:basedOn w:val="703"/>
    <w:uiPriority w:val="60"/>
    <w:pPr>
      <w:pBdr/>
      <w:spacing w:after="0" w:line="240" w:lineRule="auto"/>
      <w:ind/>
    </w:pPr>
    <w:rPr>
      <w:color w:val="943634" w:themeColor="accent2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ght Shading Accent 3"/>
    <w:basedOn w:val="703"/>
    <w:uiPriority w:val="60"/>
    <w:pPr>
      <w:pBdr/>
      <w:spacing w:after="0" w:line="240" w:lineRule="auto"/>
      <w:ind/>
    </w:pPr>
    <w:rPr>
      <w:color w:val="76923c" w:themeColor="accent3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ght Shading Accent 4"/>
    <w:basedOn w:val="703"/>
    <w:uiPriority w:val="60"/>
    <w:pPr>
      <w:pBdr/>
      <w:spacing w:after="0" w:line="240" w:lineRule="auto"/>
      <w:ind/>
    </w:pPr>
    <w:rPr>
      <w:color w:val="5f497a" w:themeColor="accent4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ght Shading Accent 5"/>
    <w:basedOn w:val="703"/>
    <w:uiPriority w:val="60"/>
    <w:pPr>
      <w:pBdr/>
      <w:spacing w:after="0" w:line="240" w:lineRule="auto"/>
      <w:ind/>
    </w:pPr>
    <w:rPr>
      <w:color w:val="31849b" w:themeColor="accent5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ght Shading Accent 6"/>
    <w:basedOn w:val="703"/>
    <w:uiPriority w:val="60"/>
    <w:pPr>
      <w:pBdr/>
      <w:spacing w:after="0" w:line="240" w:lineRule="auto"/>
      <w:ind/>
    </w:pPr>
    <w:rPr>
      <w:color w:val="e36c0a" w:themeColor="accent6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ght List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ght List Accent 1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ght List Accent 2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ght List Accent 3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ght List Accent 4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ght List Accent 5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ght List Accent 6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ght Grid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ght Grid Accent 1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ght Grid Accent 2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ght Grid Accent 3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ght Grid Accent 4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ght Grid Accent 5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ght Grid Accent 6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Medium Shading 1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Medium Shading 1 Accent 1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Medium Shading 1 Accent 2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Medium Shading 1 Accent 3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Medium Shading 1 Accent 4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Medium Shading 1 Accent 5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Medium Shading 1 Accent 6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Medium Shading 2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Medium Shading 2 Accent 1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Medium Shading 2 Accent 2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Medium Shading 2 Accent 3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Medium Shading 2 Accent 4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Medium Shading 2 Accent 5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Medium Shading 2 Accent 6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Medium List 1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000000" w:themeColor="tex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Medium List 1 Accent 1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f81bd" w:themeColor="accen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Medium List 1 Accent 2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c0504d" w:themeColor="accent2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Medium List 1 Accent 3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9bbb59" w:themeColor="accent3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Medium List 1 Accent 4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8064a2" w:themeColor="accent4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Medium List 1 Accent 5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bacc6" w:themeColor="accent5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Medium List 1 Accent 6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f79646" w:themeColor="accent6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Medium List 2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000000" w:themeColor="tex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000000" w:themeColor="tex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Medium List 2 Accent 1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f81bd" w:themeColor="accen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f81bd" w:themeColor="accen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f81bd" w:themeColor="accen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Medium List 2 Accent 2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c0504d" w:themeColor="accent2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c0504d" w:themeColor="accent2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Medium List 2 Accent 3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9bbb59" w:themeColor="accent3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9bbb59" w:themeColor="accent3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Medium List 2 Accent 4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8064a2" w:themeColor="accent4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8064a2" w:themeColor="accent4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Medium List 2 Accent 5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bacc6" w:themeColor="accent5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bacc6" w:themeColor="accent5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Medium List 2 Accent 6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f79646" w:themeColor="accent6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f79646" w:themeColor="accent6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Medium Grid 1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04040" w:themeColor="tex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Medium Grid 1 Accent 1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ba0cd" w:themeColor="accen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Medium Grid 1 Accent 2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f7b79" w:themeColor="accent2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Medium Grid 1 Accent 3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b3cc82" w:themeColor="accent3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Medium Grid 1 Accent 4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f8ab9" w:themeColor="accent4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Medium Grid 1 Accent 5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8c0d4" w:themeColor="accent5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Medium Grid 1 Accent 6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9b074" w:themeColor="accent6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Medium Grid 2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6e6e6" w:themeFill="tex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Medium Grid 2 Accent 1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2f8" w:themeFill="accen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Medium Grid 2 Accent 2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8eded" w:themeFill="accent2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Medium Grid 2 Accent 3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5f8ee" w:themeFill="accent3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Medium Grid 2 Accent 4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eff6" w:themeFill="accent4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Medium Grid 2 Accent 5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6f9" w:themeFill="accent5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Medium Grid 2 Accent 6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ef4ec" w:themeFill="accent6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Medium Grid 3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Medium Grid 3 Accent 1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Medium Grid 3 Accent 2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Medium Grid 3 Accent 3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Medium Grid 3 Accent 4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Medium Grid 3 Accent 5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Medium Grid 3 Accent 6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Dark List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000000" w:themeFill="tex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000000" w:themeFill="tex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Dark List Accent 1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f81bd" w:themeFill="accen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43f60" w:themeFill="accen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Dark List Accent 2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c0504d" w:themeFill="accent2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622423" w:themeFill="accent2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Dark List Accent 3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9bbb59" w:themeFill="accent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4e6128" w:themeFill="accent3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Dark List Accent 4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8064a2" w:themeFill="accent4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3f3151" w:themeFill="accent4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Dark List Accent 5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bacc6" w:themeFill="accent5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05867" w:themeFill="accent5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Dark List Accent 6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79646" w:themeFill="accent6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974706" w:themeFill="accent6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Colorful Shading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Colorful Shading Accent 1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Colorful Shading Accent 2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Colorful Shading Accent 3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single" w:color="ffffff" w:themeColor="background1" w:sz="6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Colorful Shading Accent 4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Colorful Shading Accent 5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Colorful Shading Accent 6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Colorful List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Colorful List Accent 1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Colorful List Accent 2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Colorful List Accent 3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664e82" w:themeFill="accent4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664e82" w:themeColor="accent4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Colorful List Accent 4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e9c40" w:themeFill="accent3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7e9c40" w:themeColor="accent3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Colorful List Accent 5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2730a" w:themeFill="accent6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f2730a" w:themeColor="accent6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Colorful List Accent 6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48da5" w:themeFill="accent5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348da5" w:themeColor="accent5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Colorful Grid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Colorful Grid Accent 1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Colorful Grid Accent 2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Colorful Grid Accent 3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Colorful Grid Accent 4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Colorful Grid Accent 5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Colorful Grid Accent 6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Manager/>
  <Company/>
  <LinksUpToDate>0</LinksUpToDate>
  <SharedDoc>0</SharedDoc>
  <HyperlinkBase/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revision>2</cp:revision>
  <dcterms:created xsi:type="dcterms:W3CDTF">2013-12-23T23:15:00Z</dcterms:created>
  <dcterms:modified xsi:type="dcterms:W3CDTF">2026-10-24T05:14:48Z</dcterms:modified>
  <cp:category/>
</cp:coreProperties>
</file>