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jc w:val="center"/>
        <w:tblW w:w="0" w:type="auto"/>
        <w:tblBorders/>
        <w:tblLook w:val="04A0" w:firstRow="1" w:lastRow="0" w:firstColumn="1" w:lastColumn="0" w:noHBand="0" w:noVBand="1"/>
      </w:tblPr>
      <w:tblGrid>
        <w:gridCol w:w="3324"/>
        <w:gridCol w:w="3324"/>
        <w:gridCol w:w="3324"/>
      </w:tblGrid>
      <w:tr>
        <w:trPr/>
        <w:tc>
          <w:tcPr>
            <w:shd w:val="clear" w:color="auto" w:fill="ffffff"/>
            <w:tcBorders/>
            <w:tcW w:w="3231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0033a0"/>
            <w:tcBorders/>
            <w:tcW w:w="3231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auto" w:fill="da291c"/>
            <w:tcBorders/>
            <w:tcW w:w="3231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</w:tbl>
    <w:p>
      <w:pPr>
        <w:pBdr/>
        <w:spacing w:after="40"/>
        <w:ind/>
        <w:rPr/>
      </w:pPr>
      <w:r/>
      <w:r/>
    </w:p>
    <w:p>
      <w:pPr>
        <w:pBdr/>
        <w:spacing w:after="40"/>
        <w:ind/>
        <w:jc w:val="center"/>
        <w:rPr/>
      </w:pPr>
      <w:r>
        <w:rPr>
          <w:rFonts w:ascii="Times New Roman" w:hAnsi="Times New Roman"/>
          <w:b/>
          <w:i w:val="0"/>
          <w:color w:val="1f3a6e"/>
          <w:sz w:val="26"/>
        </w:rPr>
        <w:t xml:space="preserve">Признание граждан малоимущими в целях предоставления им по договорам социального найма жилых помещений муниципального жилищного фонда</w:t>
      </w:r>
      <w:r/>
    </w:p>
    <w:p>
      <w:pPr>
        <w:pBdr/>
        <w:spacing w:after="200"/>
        <w:ind/>
        <w:jc w:val="center"/>
        <w:rPr/>
      </w:pPr>
      <w:r>
        <w:rPr>
          <w:rFonts w:ascii="Times New Roman" w:hAnsi="Times New Roman"/>
          <w:b w:val="0"/>
          <w:i/>
          <w:sz w:val="24"/>
        </w:rPr>
        <w:t xml:space="preserve">в городском округе «Город Южно-Сахалинск»</w:t>
      </w:r>
      <w:r/>
    </w:p>
    <w:p>
      <w:pPr>
        <w:pBdr/>
        <w:spacing w:after="80" w:before="200"/>
        <w:ind/>
        <w:rPr/>
      </w:pPr>
      <w:r>
        <w:rPr>
          <w:rFonts w:ascii="Times New Roman" w:hAnsi="Times New Roman"/>
          <w:b/>
          <w:i w:val="0"/>
          <w:color w:val="1f3a6e"/>
          <w:sz w:val="26"/>
        </w:rPr>
        <w:t xml:space="preserve">1. Право на получение услуги</w:t>
      </w:r>
      <w:r/>
    </w:p>
    <w:p>
      <w:pPr>
        <w:pBdr/>
        <w:spacing w:after="120"/>
        <w:ind w:firstLine="425"/>
        <w:rPr/>
      </w:pPr>
      <w:r>
        <w:rPr>
          <w:rFonts w:ascii="Times New Roman" w:hAnsi="Times New Roman"/>
          <w:b w:val="0"/>
          <w:i w:val="0"/>
          <w:sz w:val="24"/>
        </w:rPr>
        <w:t xml:space="preserve">Право на получение муниципальной услуги имеют граждане Российской Федерации, зарегистрированные по месту жительства, месту пребывания в городском округе «Город Южно-Сахалинск».</w:t>
      </w:r>
      <w:r/>
    </w:p>
    <w:p>
      <w:pPr>
        <w:pBdr/>
        <w:spacing w:after="80" w:before="200"/>
        <w:ind/>
        <w:rPr/>
      </w:pPr>
      <w:r>
        <w:rPr>
          <w:rFonts w:ascii="Times New Roman" w:hAnsi="Times New Roman"/>
          <w:b/>
          <w:i w:val="0"/>
          <w:color w:val="1f3a6e"/>
          <w:sz w:val="26"/>
        </w:rPr>
        <w:t xml:space="preserve">2. Перечень необходимых документов</w:t>
      </w:r>
      <w:r/>
    </w:p>
    <w:tbl>
      <w:tblPr>
        <w:jc w:val="center"/>
        <w:tblW w:w="0" w:type="auto"/>
        <w:tblBorders/>
        <w:tblLook w:val="04A0" w:firstRow="1" w:lastRow="0" w:firstColumn="1" w:lastColumn="0" w:noHBand="0" w:noVBand="1"/>
      </w:tblPr>
      <w:tblGrid>
        <w:gridCol w:w="3324"/>
        <w:gridCol w:w="3324"/>
        <w:gridCol w:w="3324"/>
      </w:tblGrid>
      <w:tr>
        <w:trPr/>
        <w:tc>
          <w:tcPr>
            <w:shd w:val="clear" w:color="auto" w:fill="2e5aac"/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/>
                <w:b/>
                <w:i w:val="0"/>
                <w:color w:val="ffffff"/>
                <w:sz w:val="22"/>
              </w:rPr>
              <w:t xml:space="preserve">№</w:t>
            </w:r>
            <w:r/>
          </w:p>
        </w:tc>
        <w:tc>
          <w:tcPr>
            <w:shd w:val="clear" w:color="auto" w:fill="2e5aac"/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/>
                <w:b/>
                <w:i w:val="0"/>
                <w:color w:val="ffffff"/>
                <w:sz w:val="22"/>
              </w:rPr>
              <w:t xml:space="preserve">Наименование документа</w:t>
            </w:r>
            <w:r/>
          </w:p>
        </w:tc>
        <w:tc>
          <w:tcPr>
            <w:shd w:val="clear" w:color="auto" w:fill="2e5aac"/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/>
                <w:b/>
                <w:i w:val="0"/>
                <w:color w:val="ffffff"/>
                <w:sz w:val="22"/>
              </w:rPr>
              <w:t xml:space="preserve">Примечание</w:t>
            </w:r>
            <w:r/>
          </w:p>
        </w:tc>
      </w:tr>
      <w:tr>
        <w:trPr/>
        <w:tc>
          <w:tcPr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1</w:t>
            </w:r>
            <w:r/>
          </w:p>
        </w:tc>
        <w:tc>
          <w:tcPr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Паспорт (паспорта всех членов семьи), ИНН, СНИЛС</w:t>
            </w:r>
            <w:r/>
          </w:p>
        </w:tc>
        <w:tc>
          <w:tcPr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Представляется на каждого совершеннолетнего члена семьи и несовершеннолетнего (с 14 лет). Копии и оригинал для обозрения.</w:t>
            </w:r>
            <w:r/>
          </w:p>
        </w:tc>
      </w:tr>
      <w:tr>
        <w:trPr/>
        <w:tc>
          <w:tcPr>
            <w:shd w:val="clear" w:color="auto" w:fill="f2f6fc"/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2</w:t>
            </w:r>
            <w:r/>
          </w:p>
        </w:tc>
        <w:tc>
          <w:tcPr>
            <w:shd w:val="clear" w:color="auto" w:fill="f2f6fc"/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Свидетельство о рождении ребёнка (детей), СНИЛС</w:t>
            </w:r>
            <w:r/>
          </w:p>
        </w:tc>
        <w:tc>
          <w:tcPr>
            <w:shd w:val="clear" w:color="auto" w:fill="f2f6fc"/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Представляется на всех совместно проживающих с заявителем членов семьи (подлинник и оригинал для обозрения).</w:t>
            </w:r>
            <w:r/>
          </w:p>
        </w:tc>
      </w:tr>
      <w:tr>
        <w:trPr/>
        <w:tc>
          <w:tcPr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3</w:t>
            </w:r>
            <w:r/>
          </w:p>
        </w:tc>
        <w:tc>
          <w:tcPr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Свидетельство о заключении брака</w:t>
            </w:r>
            <w:r/>
          </w:p>
        </w:tc>
        <w:tc>
          <w:tcPr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Копия и оригинал для обозрения.</w:t>
            </w:r>
            <w:r/>
          </w:p>
        </w:tc>
      </w:tr>
      <w:tr>
        <w:trPr/>
        <w:tc>
          <w:tcPr>
            <w:shd w:val="clear" w:color="auto" w:fill="f2f6fc"/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4</w:t>
            </w:r>
            <w:r/>
          </w:p>
        </w:tc>
        <w:tc>
          <w:tcPr>
            <w:shd w:val="clear" w:color="auto" w:fill="f2f6fc"/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Решение об усыновлении (удочерении)</w:t>
            </w:r>
            <w:r/>
          </w:p>
        </w:tc>
        <w:tc>
          <w:tcPr>
            <w:shd w:val="clear" w:color="auto" w:fill="f2f6fc"/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Копия и оригинал для обозрения.</w:t>
            </w:r>
            <w:r/>
          </w:p>
        </w:tc>
      </w:tr>
      <w:tr>
        <w:trPr/>
        <w:tc>
          <w:tcPr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5</w:t>
            </w:r>
            <w:r/>
          </w:p>
        </w:tc>
        <w:tc>
          <w:tcPr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Судебное решение о признании членом (не членом) семьи</w:t>
            </w:r>
            <w:r/>
          </w:p>
        </w:tc>
        <w:tc>
          <w:tcPr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Копия и оригинал для обозрения.</w:t>
            </w:r>
            <w:r/>
          </w:p>
        </w:tc>
      </w:tr>
      <w:tr>
        <w:trPr/>
        <w:tc>
          <w:tcPr>
            <w:shd w:val="clear" w:color="auto" w:fill="f2f6fc"/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6</w:t>
            </w:r>
            <w:r/>
          </w:p>
        </w:tc>
        <w:tc>
          <w:tcPr>
            <w:shd w:val="clear" w:color="auto" w:fill="f2f6fc"/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Трудовая книжка</w:t>
            </w:r>
            <w:r/>
          </w:p>
        </w:tc>
        <w:tc>
          <w:tcPr>
            <w:shd w:val="clear" w:color="auto" w:fill="f2f6fc"/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Копия и оригинал для обозрения.</w:t>
            </w:r>
            <w:r/>
          </w:p>
        </w:tc>
      </w:tr>
      <w:tr>
        <w:trPr/>
        <w:tc>
          <w:tcPr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7</w:t>
            </w:r>
            <w:r/>
          </w:p>
        </w:tc>
        <w:tc>
          <w:tcPr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Справка медико-социальной экспертизы</w:t>
            </w:r>
            <w:r/>
          </w:p>
        </w:tc>
        <w:tc>
          <w:tcPr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Копия и оригинал для обозрения.</w:t>
            </w:r>
            <w:r/>
          </w:p>
        </w:tc>
      </w:tr>
      <w:tr>
        <w:trPr/>
        <w:tc>
          <w:tcPr>
            <w:shd w:val="clear" w:color="auto" w:fill="f2f6fc"/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8</w:t>
            </w:r>
            <w:r/>
          </w:p>
        </w:tc>
        <w:tc>
          <w:tcPr>
            <w:shd w:val="clear" w:color="auto" w:fill="f2f6fc"/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Справка с места жительства с указанием всех членов семьи. Свидетельство о собственности жилья или договор социального найма (с места регистрации заявителя)</w:t>
            </w:r>
            <w:r/>
          </w:p>
        </w:tc>
        <w:tc>
          <w:tcPr>
            <w:shd w:val="clear" w:color="auto" w:fill="f2f6fc"/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Справка жилищной организации (ЖЭУ) с указанием совместно зарегистрированных и проживающих лиц. Срок действия справки — в течение месяца со дня выдачи.</w:t>
            </w:r>
            <w:r/>
          </w:p>
        </w:tc>
      </w:tr>
      <w:tr>
        <w:trPr/>
        <w:tc>
          <w:tcPr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9</w:t>
            </w:r>
            <w:r/>
          </w:p>
        </w:tc>
        <w:tc>
          <w:tcPr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Документ о рыночной стоимости имущества (автомобили, мотоциклы, катера, снегоходы, гидроциклы и другие транспортные средства, зарегистрированные в установленном порядке)</w:t>
            </w:r>
            <w:r/>
          </w:p>
        </w:tc>
        <w:tc>
          <w:tcPr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Услугу по оценке предоставляют организации или специалисты, осуществляющие оценку при наличии лицензии (независимые оценщики).</w:t>
            </w:r>
            <w:r/>
          </w:p>
        </w:tc>
      </w:tr>
      <w:tr>
        <w:trPr/>
        <w:tc>
          <w:tcPr>
            <w:shd w:val="clear" w:color="auto" w:fill="f2f6fc"/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10</w:t>
            </w:r>
            <w:r/>
          </w:p>
        </w:tc>
        <w:tc>
          <w:tcPr>
            <w:shd w:val="clear" w:color="auto" w:fill="f2f6fc"/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Документы о кадастровой стоимости объектов недвижимости (жилые и нежилые помещения, земельные участки, машино-места)</w:t>
            </w:r>
            <w:r/>
          </w:p>
        </w:tc>
        <w:tc>
          <w:tcPr>
            <w:shd w:val="clear" w:color="auto" w:fill="f2f6fc"/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При непредоставлении запрос делает уполномоченный орган, предоставляющий услугу.</w:t>
            </w:r>
            <w:r/>
          </w:p>
        </w:tc>
      </w:tr>
      <w:tr>
        <w:trPr/>
        <w:tc>
          <w:tcPr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11</w:t>
            </w:r>
            <w:r/>
          </w:p>
        </w:tc>
        <w:tc>
          <w:tcPr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Справка ГИБДД о наличии (об отсутствии) транспортных средств в собственности у гражданина и членов его семьи</w:t>
            </w:r>
            <w:r/>
          </w:p>
        </w:tc>
        <w:tc>
          <w:tcPr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При непредоставлении запрос делает уполномоченный орган, предоставляющий услугу.</w:t>
            </w:r>
            <w:r/>
          </w:p>
        </w:tc>
      </w:tr>
      <w:tr>
        <w:trPr/>
        <w:tc>
          <w:tcPr>
            <w:shd w:val="clear" w:color="auto" w:fill="f2f6fc"/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12</w:t>
            </w:r>
            <w:r/>
          </w:p>
        </w:tc>
        <w:tc>
          <w:tcPr>
            <w:shd w:val="clear" w:color="auto" w:fill="f2f6fc"/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Выписка из Единого государственного реестра прав на недвижимое имущество и сделок с ним о наличии (отсутствии) зарегистрированных прав</w:t>
            </w:r>
            <w:r/>
          </w:p>
        </w:tc>
        <w:tc>
          <w:tcPr>
            <w:shd w:val="clear" w:color="auto" w:fill="f2f6fc"/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На все объекты, подлежащие налогообложению и находящиеся в собственности каждого члена семьи. При непредоставлении запрос делает уполномоченный орган, предоставляющий услугу.</w:t>
            </w:r>
            <w:r/>
          </w:p>
        </w:tc>
      </w:tr>
      <w:tr>
        <w:trPr/>
        <w:tc>
          <w:tcPr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13</w:t>
            </w:r>
            <w:r/>
          </w:p>
        </w:tc>
        <w:tc>
          <w:tcPr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Справки о доходах с места работы или службы за 12 месяцев, предшествующих месяцу подачи заявления</w:t>
            </w:r>
            <w:r/>
          </w:p>
        </w:tc>
        <w:tc>
          <w:tcPr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Представляются на заявителя и каждого трудоспособного члена семьи (оригинал).</w:t>
            </w:r>
            <w:r/>
          </w:p>
        </w:tc>
      </w:tr>
      <w:tr>
        <w:trPr/>
        <w:tc>
          <w:tcPr>
            <w:shd w:val="clear" w:color="auto" w:fill="f2f6fc"/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14</w:t>
            </w:r>
            <w:r/>
          </w:p>
        </w:tc>
        <w:tc>
          <w:tcPr>
            <w:shd w:val="clear" w:color="auto" w:fill="f2f6fc"/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Копии налоговых деклараций (за предыдущий год), заверенных налоговыми органами</w:t>
            </w:r>
            <w:r/>
          </w:p>
        </w:tc>
        <w:tc>
          <w:tcPr>
            <w:shd w:val="clear" w:color="auto" w:fill="f2f6fc"/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Для граждан, обязанных подавать налоговые декларации.</w:t>
            </w:r>
            <w:r/>
          </w:p>
        </w:tc>
      </w:tr>
      <w:tr>
        <w:trPr/>
        <w:tc>
          <w:tcPr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15</w:t>
            </w:r>
            <w:r/>
          </w:p>
        </w:tc>
        <w:tc>
          <w:tcPr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Копии книг учёта доходов и расходов и хозяйственных операций; копии налоговых деклараций за расчётный период</w:t>
            </w:r>
            <w:r/>
          </w:p>
        </w:tc>
        <w:tc>
          <w:tcPr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Для индивидуальных предпринимателей (общие условия, упрощённая система, единый налог на вменённый доход).</w:t>
            </w:r>
            <w:r/>
          </w:p>
        </w:tc>
      </w:tr>
      <w:tr>
        <w:trPr/>
        <w:tc>
          <w:tcPr>
            <w:shd w:val="clear" w:color="auto" w:fill="f2f6fc"/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16</w:t>
            </w:r>
            <w:r/>
          </w:p>
        </w:tc>
        <w:tc>
          <w:tcPr>
            <w:shd w:val="clear" w:color="auto" w:fill="f2f6fc"/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Копии соглашений (договоров) между членами крестьянского (фермерского) хозяйства об использовании плодов, продукции и доходов</w:t>
            </w:r>
            <w:r/>
          </w:p>
        </w:tc>
        <w:tc>
          <w:tcPr>
            <w:shd w:val="clear" w:color="auto" w:fill="f2f6fc"/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Для граждан и членов их семьи, являющихся членами крестьянских (фермерских) хозяйств.</w:t>
            </w:r>
            <w:r/>
          </w:p>
        </w:tc>
      </w:tr>
      <w:tr>
        <w:trPr/>
        <w:tc>
          <w:tcPr>
            <w:tcBorders/>
            <w:tcW w:w="62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17</w:t>
            </w:r>
            <w:r/>
          </w:p>
        </w:tc>
        <w:tc>
          <w:tcPr>
            <w:tcBorders/>
            <w:tcW w:w="4649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Договоры, содержащие информацию об основании отчуждения имущества и его стоимости при продаже</w:t>
            </w:r>
            <w:r/>
          </w:p>
        </w:tc>
        <w:tc>
          <w:tcPr>
            <w:tcBorders/>
            <w:tcW w:w="44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0"/>
              </w:rPr>
              <w:t xml:space="preserve">Если в течение 12 месяцев, предшествующих месяцу подачи заявления, семьёй было продано имущество (квартиры, машины, земли и т. д.), его стоимость учитывается как доход.</w:t>
            </w:r>
            <w:r/>
          </w:p>
        </w:tc>
      </w:tr>
    </w:tbl>
    <w:p>
      <w:pPr>
        <w:pBdr/>
        <w:spacing w:after="40"/>
        <w:ind/>
        <w:rPr/>
      </w:pPr>
      <w:r/>
      <w:r/>
    </w:p>
    <w:tbl>
      <w:tblPr>
        <w:tblW w:w="0" w:type="auto"/>
        <w:tblBorders/>
        <w:tblLook w:val="04A0" w:firstRow="1" w:lastRow="0" w:firstColumn="1" w:lastColumn="0" w:noHBand="0" w:noVBand="1"/>
      </w:tblPr>
      <w:tblGrid>
        <w:gridCol w:w="9973"/>
      </w:tblGrid>
      <w:tr>
        <w:trPr/>
        <w:tc>
          <w:tcPr>
            <w:shd w:val="clear" w:color="auto" w:fill="eaf2fb"/>
            <w:tcBorders/>
            <w:tcW w:w="9973" w:type="dxa"/>
            <w:textDirection w:val="lrTb"/>
            <w:noWrap w:val="false"/>
          </w:tcPr>
          <w:p>
            <w:pPr>
              <w:pBdr/>
              <w:spacing w:after="40"/>
              <w:ind/>
              <w:rPr/>
            </w:pPr>
            <w:r>
              <w:rPr>
                <w:rFonts w:ascii="Times New Roman" w:hAnsi="Times New Roman"/>
                <w:b/>
                <w:i w:val="0"/>
                <w:sz w:val="22"/>
              </w:rPr>
              <w:t xml:space="preserve">Важно:</w:t>
            </w:r>
            <w:r/>
          </w:p>
          <w:p>
            <w:pPr>
              <w:pBdr/>
              <w:spacing w:after="40"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В случае отсутствия имущества (квартиры, земли, машины и т. д.) или в случае отсутствия факта (брак, усыновление, судебное решение, декларации, книги учёта доходов и расходов и т. д.) документы не предоставляются.</w:t>
            </w:r>
            <w:r/>
          </w:p>
        </w:tc>
      </w:tr>
    </w:tbl>
    <w:p>
      <w:pPr>
        <w:pBdr/>
        <w:spacing w:after="40"/>
        <w:ind/>
        <w:rPr/>
      </w:pPr>
      <w:r/>
      <w:r/>
    </w:p>
    <w:p>
      <w:pPr>
        <w:pBdr/>
        <w:spacing w:after="80" w:before="200"/>
        <w:ind/>
        <w:rPr/>
      </w:pPr>
      <w:r>
        <w:rPr>
          <w:rFonts w:ascii="Times New Roman" w:hAnsi="Times New Roman"/>
          <w:b/>
          <w:i w:val="0"/>
          <w:color w:val="1f3a6e"/>
          <w:sz w:val="26"/>
        </w:rPr>
        <w:t xml:space="preserve">3. Результат предоставления услуги</w:t>
      </w:r>
      <w:r/>
    </w:p>
    <w:p>
      <w:pPr>
        <w:pBdr/>
        <w:spacing w:after="120"/>
        <w:ind w:firstLine="425"/>
        <w:rPr/>
      </w:pPr>
      <w:r>
        <w:rPr>
          <w:rFonts w:ascii="Times New Roman" w:hAnsi="Times New Roman"/>
          <w:b w:val="0"/>
          <w:i w:val="0"/>
          <w:sz w:val="24"/>
        </w:rPr>
        <w:t xml:space="preserve">Результатом предоставления муниципальной услуги является решение о призн</w:t>
      </w:r>
      <w:r>
        <w:rPr>
          <w:rFonts w:ascii="Times New Roman" w:hAnsi="Times New Roman"/>
          <w:b w:val="0"/>
          <w:i w:val="0"/>
          <w:sz w:val="24"/>
        </w:rPr>
        <w:t xml:space="preserve">ании (отказе в признании) гражданина и членов его семьи малоимущими в целях предоставления по договору социального найма жилого помещения муниципального жилищного фонда в городском округе «Город Южно-Сахалинск», с уведомлением заявителя о принятом решении.</w:t>
      </w:r>
      <w:r/>
    </w:p>
    <w:p>
      <w:pPr>
        <w:pBdr/>
        <w:spacing w:after="80" w:before="200"/>
        <w:ind/>
        <w:rPr/>
      </w:pPr>
      <w:r>
        <w:rPr>
          <w:rFonts w:ascii="Times New Roman" w:hAnsi="Times New Roman"/>
          <w:b/>
          <w:i w:val="0"/>
          <w:color w:val="1f3a6e"/>
          <w:sz w:val="26"/>
        </w:rPr>
        <w:t xml:space="preserve">4. Куда обратиться за услугой</w:t>
      </w:r>
      <w:r/>
    </w:p>
    <w:p>
      <w:pPr>
        <w:pStyle w:val="733"/>
        <w:pBdr/>
        <w:spacing/>
        <w:ind/>
        <w:rPr/>
      </w:pPr>
      <w:r>
        <w:rPr>
          <w:rFonts w:ascii="Times New Roman" w:hAnsi="Times New Roman"/>
          <w:b/>
          <w:i w:val="0"/>
          <w:sz w:val="24"/>
        </w:rPr>
        <w:t xml:space="preserve">Приём документов осуществляется по записи в Департаменте социальной политики администрации города Южно-Сахалинска:</w:t>
      </w:r>
      <w:r/>
    </w:p>
    <w:p>
      <w:pPr>
        <w:pStyle w:val="733"/>
        <w:pBdr/>
        <w:spacing/>
        <w:ind/>
        <w:rPr/>
      </w:pPr>
      <w:r>
        <w:rPr>
          <w:rFonts w:ascii="Times New Roman" w:hAnsi="Times New Roman"/>
          <w:b w:val="0"/>
          <w:i w:val="0"/>
          <w:sz w:val="24"/>
        </w:rPr>
        <w:t xml:space="preserve">г. Южно-Сахалинск, ул. Комсомольская, д. 169, каб. № 3</w:t>
      </w:r>
      <w:r/>
    </w:p>
    <w:p>
      <w:pPr>
        <w:pStyle w:val="733"/>
        <w:pBdr/>
        <w:spacing/>
        <w:ind/>
        <w:rPr/>
      </w:pPr>
      <w:r>
        <w:rPr>
          <w:rFonts w:ascii="Times New Roman" w:hAnsi="Times New Roman"/>
          <w:b w:val="0"/>
          <w:i w:val="0"/>
          <w:sz w:val="24"/>
        </w:rPr>
        <w:t xml:space="preserve">Телефон: 300712, 300596</w:t>
      </w:r>
      <w:r/>
    </w:p>
    <w:p>
      <w:pPr>
        <w:pStyle w:val="733"/>
        <w:pBdr/>
        <w:spacing/>
        <w:ind/>
        <w:rPr/>
      </w:pPr>
      <w:r>
        <w:rPr>
          <w:rFonts w:ascii="Times New Roman" w:hAnsi="Times New Roman"/>
          <w:b w:val="0"/>
          <w:i w:val="0"/>
          <w:sz w:val="24"/>
        </w:rPr>
        <w:t xml:space="preserve">Получить консультацию и памятку с перечнем необходимых документов, ознакомиться с полным текстом Административного регламента можно в кабинете № 3.</w:t>
      </w:r>
      <w:r/>
    </w:p>
    <w:p>
      <w:pPr>
        <w:pStyle w:val="733"/>
        <w:pBdr/>
        <w:spacing/>
        <w:ind/>
        <w:rPr/>
      </w:pPr>
      <w:r>
        <w:rPr>
          <w:rFonts w:ascii="Times New Roman" w:hAnsi="Times New Roman"/>
          <w:b w:val="0"/>
          <w:i w:val="0"/>
          <w:sz w:val="24"/>
        </w:rPr>
        <w:t xml:space="preserve">Адрес официального сайта администрации города Южно-Сахалинска в сети Интернет: yuzhno-sakh.ru</w:t>
      </w:r>
      <w:r/>
    </w:p>
    <w:p>
      <w:pPr>
        <w:pStyle w:val="733"/>
        <w:pBdr/>
        <w:spacing/>
        <w:ind/>
        <w:rPr/>
      </w:pPr>
      <w:r>
        <w:rPr>
          <w:rFonts w:ascii="Times New Roman" w:hAnsi="Times New Roman"/>
          <w:b w:val="0"/>
          <w:i w:val="0"/>
          <w:sz w:val="24"/>
        </w:rPr>
        <w:t xml:space="preserve">Подача заявления в электронной форме — на портале государственных и муниципальных услуг (функций) Сахалинской области: uslugi.admsakhalin.ru</w:t>
      </w:r>
      <w:r/>
    </w:p>
    <w:p>
      <w:pPr>
        <w:pBdr/>
        <w:spacing w:after="40"/>
        <w:ind/>
        <w:rPr/>
      </w:pPr>
      <w:r/>
      <w:r/>
    </w:p>
    <w:tbl>
      <w:tblPr>
        <w:tblW w:w="0" w:type="auto"/>
        <w:tblBorders/>
        <w:tblLook w:val="04A0" w:firstRow="1" w:lastRow="0" w:firstColumn="1" w:lastColumn="0" w:noHBand="0" w:noVBand="1"/>
      </w:tblPr>
      <w:tblGrid>
        <w:gridCol w:w="9973"/>
      </w:tblGrid>
      <w:tr>
        <w:trPr/>
        <w:tc>
          <w:tcPr>
            <w:shd w:val="clear" w:color="auto" w:fill="eaf2fb"/>
            <w:tcBorders/>
            <w:tcW w:w="9973" w:type="dxa"/>
            <w:textDirection w:val="lrTb"/>
            <w:noWrap w:val="false"/>
          </w:tcPr>
          <w:p>
            <w:pPr>
              <w:pBdr/>
              <w:spacing w:after="40"/>
              <w:ind/>
              <w:rPr/>
            </w:pPr>
            <w:r>
              <w:rPr>
                <w:rFonts w:ascii="Times New Roman" w:hAnsi="Times New Roman"/>
                <w:b w:val="0"/>
                <w:i/>
                <w:sz w:val="22"/>
              </w:rPr>
              <w:t xml:space="preserve">Памятка носит информационный характер и не заменяет нормативные правовые акты.</w:t>
            </w:r>
            <w:r/>
          </w:p>
        </w:tc>
      </w:tr>
    </w:tbl>
    <w:p>
      <w:pPr>
        <w:pBdr/>
        <w:spacing w:after="40"/>
        <w:ind/>
        <w:rPr/>
      </w:pPr>
      <w:r/>
      <w:r/>
    </w:p>
    <w:sectPr>
      <w:footerReference w:type="default" r:id="rId9"/>
      <w:footnotePr/>
      <w:endnotePr/>
      <w:type w:val="nextPage"/>
      <w:pgSz w:h="15840" w:orient="portrait" w:w="12240"/>
      <w:pgMar w:top="1020" w:right="1020" w:bottom="1020" w:left="1247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1"/>
      <w:pBdr/>
      <w:spacing/>
      <w:ind/>
      <w:jc w:val="center"/>
      <w:rPr/>
    </w:pPr>
    <w:r>
      <w:rPr>
        <w:rFonts w:ascii="Times New Roman" w:hAnsi="Times New Roman"/>
        <w:b w:val="0"/>
        <w:i w:val="0"/>
        <w:color w:val="1f3a6e"/>
        <w:sz w:val="20"/>
      </w:rPr>
      <w:t xml:space="preserve">Актуально на 2026 год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">
    <w:nsid w:val="FFFFFF7D"/>
    <w:lvl w:ilvl="0">
      <w:isLgl w:val="false"/>
      <w:lvlJc w:val="left"/>
      <w:lvlText w:val="%1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FFFFFF7E"/>
    <w:lvl w:ilvl="0">
      <w:isLgl w:val="false"/>
      <w:lvlJc w:val="left"/>
      <w:lvlText w:val="%1."/>
      <w:numFmt w:val="decimal"/>
      <w:pPr>
        <w:pBdr/>
        <w:tabs>
          <w:tab w:val="num" w:leader="none" w:pos="1080"/>
        </w:tabs>
        <w:spacing/>
        <w:ind w:hanging="360" w:left="1080"/>
      </w:pPr>
      <w:pStyle w:val="738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FFFFFF7F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pStyle w:val="737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FFFFFF81"/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FFFFFF82"/>
    <w:lvl w:ilvl="0">
      <w:isLgl w:val="false"/>
      <w:lvlJc w:val="left"/>
      <w:lvlText w:val=""/>
      <w:numFmt w:val="bullet"/>
      <w:pPr>
        <w:pBdr/>
        <w:tabs>
          <w:tab w:val="num" w:leader="none" w:pos="1080"/>
        </w:tabs>
        <w:spacing/>
        <w:ind w:hanging="360" w:left="1080"/>
      </w:pPr>
      <w:pStyle w:val="735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6">
    <w:nsid w:val="FFFFFF83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pStyle w:val="734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7">
    <w:nsid w:val="FFFFFF88"/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pStyle w:val="736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8">
    <w:nsid w:val="FFFFFF89"/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pStyle w:val="733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3">
    <w:name w:val="Table Grid Light"/>
    <w:basedOn w:val="71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71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71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7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7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7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81">
    <w:name w:val="footnote text"/>
    <w:basedOn w:val="698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712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712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98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712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712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71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71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98"/>
    <w:next w:val="698"/>
    <w:uiPriority w:val="39"/>
    <w:unhideWhenUsed/>
    <w:pPr>
      <w:pBdr/>
      <w:spacing w:after="100"/>
      <w:ind/>
    </w:pPr>
  </w:style>
  <w:style w:type="paragraph" w:styleId="190">
    <w:name w:val="toc 2"/>
    <w:basedOn w:val="698"/>
    <w:next w:val="698"/>
    <w:uiPriority w:val="39"/>
    <w:unhideWhenUsed/>
    <w:pPr>
      <w:pBdr/>
      <w:spacing w:after="100"/>
      <w:ind w:left="220"/>
    </w:pPr>
  </w:style>
  <w:style w:type="paragraph" w:styleId="191">
    <w:name w:val="toc 3"/>
    <w:basedOn w:val="698"/>
    <w:next w:val="698"/>
    <w:uiPriority w:val="39"/>
    <w:unhideWhenUsed/>
    <w:pPr>
      <w:pBdr/>
      <w:spacing w:after="100"/>
      <w:ind w:left="440"/>
    </w:pPr>
  </w:style>
  <w:style w:type="paragraph" w:styleId="192">
    <w:name w:val="toc 4"/>
    <w:basedOn w:val="698"/>
    <w:next w:val="698"/>
    <w:uiPriority w:val="39"/>
    <w:unhideWhenUsed/>
    <w:pPr>
      <w:pBdr/>
      <w:spacing w:after="100"/>
      <w:ind w:left="660"/>
    </w:pPr>
  </w:style>
  <w:style w:type="paragraph" w:styleId="193">
    <w:name w:val="toc 5"/>
    <w:basedOn w:val="698"/>
    <w:next w:val="698"/>
    <w:uiPriority w:val="39"/>
    <w:unhideWhenUsed/>
    <w:pPr>
      <w:pBdr/>
      <w:spacing w:after="100"/>
      <w:ind w:left="880"/>
    </w:pPr>
  </w:style>
  <w:style w:type="paragraph" w:styleId="194">
    <w:name w:val="toc 6"/>
    <w:basedOn w:val="698"/>
    <w:next w:val="698"/>
    <w:uiPriority w:val="39"/>
    <w:unhideWhenUsed/>
    <w:pPr>
      <w:pBdr/>
      <w:spacing w:after="100"/>
      <w:ind w:left="1100"/>
    </w:pPr>
  </w:style>
  <w:style w:type="paragraph" w:styleId="195">
    <w:name w:val="toc 7"/>
    <w:basedOn w:val="698"/>
    <w:next w:val="698"/>
    <w:uiPriority w:val="39"/>
    <w:unhideWhenUsed/>
    <w:pPr>
      <w:pBdr/>
      <w:spacing w:after="100"/>
      <w:ind w:left="1320"/>
    </w:pPr>
  </w:style>
  <w:style w:type="paragraph" w:styleId="196">
    <w:name w:val="toc 8"/>
    <w:basedOn w:val="698"/>
    <w:next w:val="698"/>
    <w:uiPriority w:val="39"/>
    <w:unhideWhenUsed/>
    <w:pPr>
      <w:pBdr/>
      <w:spacing w:after="100"/>
      <w:ind w:left="1540"/>
    </w:pPr>
  </w:style>
  <w:style w:type="paragraph" w:styleId="197">
    <w:name w:val="toc 9"/>
    <w:basedOn w:val="698"/>
    <w:next w:val="698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12"/>
    <w:uiPriority w:val="99"/>
    <w:semiHidden/>
    <w:pPr>
      <w:pBdr/>
      <w:spacing/>
      <w:ind/>
    </w:pPr>
    <w:rPr>
      <w:color w:val="666666"/>
    </w:rPr>
  </w:style>
  <w:style w:type="paragraph" w:styleId="209">
    <w:name w:val="table of figures"/>
    <w:basedOn w:val="698"/>
    <w:next w:val="698"/>
    <w:uiPriority w:val="99"/>
    <w:unhideWhenUsed/>
    <w:pPr>
      <w:pBdr/>
      <w:spacing w:after="0" w:afterAutospacing="0"/>
      <w:ind/>
    </w:pPr>
  </w:style>
  <w:style w:type="paragraph" w:styleId="698" w:default="1">
    <w:name w:val="Normal"/>
    <w:qFormat/>
    <w:pPr>
      <w:pBdr/>
      <w:spacing/>
      <w:ind/>
    </w:pPr>
    <w:rPr>
      <w:rFonts w:ascii="Times New Roman" w:hAnsi="Times New Roman" w:eastAsia="Times New Roman"/>
      <w:sz w:val="24"/>
    </w:rPr>
  </w:style>
  <w:style w:type="paragraph" w:styleId="699">
    <w:name w:val="Header"/>
    <w:basedOn w:val="698"/>
    <w:link w:val="70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00" w:customStyle="1">
    <w:name w:val="Header Char"/>
    <w:basedOn w:val="712"/>
    <w:link w:val="699"/>
    <w:uiPriority w:val="99"/>
    <w:pPr>
      <w:pBdr/>
      <w:spacing/>
      <w:ind/>
    </w:pPr>
  </w:style>
  <w:style w:type="paragraph" w:styleId="701">
    <w:name w:val="Footer"/>
    <w:basedOn w:val="698"/>
    <w:link w:val="70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02" w:customStyle="1">
    <w:name w:val="Footer Char"/>
    <w:basedOn w:val="712"/>
    <w:link w:val="701"/>
    <w:uiPriority w:val="99"/>
    <w:pPr>
      <w:pBdr/>
      <w:spacing/>
      <w:ind/>
    </w:pPr>
  </w:style>
  <w:style w:type="paragraph" w:styleId="703">
    <w:name w:val="Heading 1"/>
    <w:basedOn w:val="698"/>
    <w:next w:val="698"/>
    <w:link w:val="716"/>
    <w:uiPriority w:val="9"/>
    <w:qFormat/>
    <w:pPr>
      <w:keepNext w:val="true"/>
      <w:keepLines w:val="true"/>
      <w:pBdr/>
      <w:spacing w:after="0" w:before="480"/>
      <w:ind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704">
    <w:name w:val="Heading 2"/>
    <w:basedOn w:val="698"/>
    <w:next w:val="698"/>
    <w:link w:val="717"/>
    <w:uiPriority w:val="9"/>
    <w:unhideWhenUsed/>
    <w:qFormat/>
    <w:pPr>
      <w:keepNext w:val="true"/>
      <w:keepLines w:val="true"/>
      <w:pBdr/>
      <w:spacing w:after="0" w:before="200"/>
      <w:ind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705">
    <w:name w:val="Heading 3"/>
    <w:basedOn w:val="698"/>
    <w:next w:val="698"/>
    <w:link w:val="718"/>
    <w:uiPriority w:val="9"/>
    <w:unhideWhenUsed/>
    <w:qFormat/>
    <w:pPr>
      <w:keepNext w:val="true"/>
      <w:keepLines w:val="true"/>
      <w:pBdr/>
      <w:spacing w:after="0" w:before="200"/>
      <w:ind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706">
    <w:name w:val="Heading 4"/>
    <w:basedOn w:val="698"/>
    <w:next w:val="698"/>
    <w:link w:val="746"/>
    <w:uiPriority w:val="9"/>
    <w:semiHidden/>
    <w:unhideWhenUsed/>
    <w:qFormat/>
    <w:pPr>
      <w:keepNext w:val="true"/>
      <w:keepLines w:val="true"/>
      <w:pBdr/>
      <w:spacing w:after="0" w:before="200"/>
      <w:ind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707">
    <w:name w:val="Heading 5"/>
    <w:basedOn w:val="698"/>
    <w:next w:val="698"/>
    <w:link w:val="747"/>
    <w:uiPriority w:val="9"/>
    <w:semiHidden/>
    <w:unhideWhenUsed/>
    <w:qFormat/>
    <w:pPr>
      <w:keepNext w:val="true"/>
      <w:keepLines w:val="true"/>
      <w:pBdr/>
      <w:spacing w:after="0" w:before="200"/>
      <w:ind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708">
    <w:name w:val="Heading 6"/>
    <w:basedOn w:val="698"/>
    <w:next w:val="698"/>
    <w:link w:val="748"/>
    <w:uiPriority w:val="9"/>
    <w:semiHidden/>
    <w:unhideWhenUsed/>
    <w:qFormat/>
    <w:pPr>
      <w:keepNext w:val="true"/>
      <w:keepLines w:val="true"/>
      <w:pBdr/>
      <w:spacing w:after="0" w:before="200"/>
      <w:ind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709">
    <w:name w:val="Heading 7"/>
    <w:basedOn w:val="698"/>
    <w:next w:val="698"/>
    <w:link w:val="749"/>
    <w:uiPriority w:val="9"/>
    <w:semiHidden/>
    <w:unhideWhenUsed/>
    <w:qFormat/>
    <w:pPr>
      <w:keepNext w:val="true"/>
      <w:keepLines w:val="true"/>
      <w:pBdr/>
      <w:spacing w:after="0" w:before="200"/>
      <w:ind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710">
    <w:name w:val="Heading 8"/>
    <w:basedOn w:val="698"/>
    <w:next w:val="698"/>
    <w:link w:val="750"/>
    <w:uiPriority w:val="9"/>
    <w:semiHidden/>
    <w:unhideWhenUsed/>
    <w:qFormat/>
    <w:pPr>
      <w:keepNext w:val="true"/>
      <w:keepLines w:val="true"/>
      <w:pBdr/>
      <w:spacing w:after="0" w:before="200"/>
      <w:ind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711">
    <w:name w:val="Heading 9"/>
    <w:basedOn w:val="698"/>
    <w:next w:val="698"/>
    <w:link w:val="751"/>
    <w:uiPriority w:val="9"/>
    <w:semiHidden/>
    <w:unhideWhenUsed/>
    <w:qFormat/>
    <w:pPr>
      <w:keepNext w:val="true"/>
      <w:keepLines w:val="true"/>
      <w:pBdr/>
      <w:spacing w:after="0" w:before="200"/>
      <w:ind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712" w:default="1">
    <w:name w:val="Default Paragraph Font"/>
    <w:uiPriority w:val="1"/>
    <w:semiHidden/>
    <w:unhideWhenUsed/>
    <w:pPr>
      <w:pBdr/>
      <w:spacing/>
      <w:ind/>
    </w:pPr>
  </w:style>
  <w:style w:type="table" w:styleId="71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14" w:default="1">
    <w:name w:val="No List"/>
    <w:uiPriority w:val="99"/>
    <w:semiHidden/>
    <w:unhideWhenUsed/>
    <w:pPr>
      <w:pBdr/>
      <w:spacing/>
      <w:ind/>
    </w:pPr>
  </w:style>
  <w:style w:type="paragraph" w:styleId="715">
    <w:name w:val="No Spacing"/>
    <w:uiPriority w:val="1"/>
    <w:qFormat/>
    <w:pPr>
      <w:pBdr/>
      <w:spacing w:after="0" w:line="240" w:lineRule="auto"/>
      <w:ind/>
    </w:pPr>
  </w:style>
  <w:style w:type="character" w:styleId="716" w:customStyle="1">
    <w:name w:val="Heading 1 Char"/>
    <w:basedOn w:val="712"/>
    <w:link w:val="703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717" w:customStyle="1">
    <w:name w:val="Heading 2 Char"/>
    <w:basedOn w:val="712"/>
    <w:link w:val="704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718" w:customStyle="1">
    <w:name w:val="Heading 3 Char"/>
    <w:basedOn w:val="712"/>
    <w:link w:val="705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719">
    <w:name w:val="Title"/>
    <w:basedOn w:val="698"/>
    <w:next w:val="698"/>
    <w:link w:val="720"/>
    <w:uiPriority w:val="10"/>
    <w:qFormat/>
    <w:pPr>
      <w:pBdr>
        <w:bottom w:val="single" w:color="4f81bd" w:themeColor="accent1" w:sz="8" w:space="4"/>
      </w:pBdr>
      <w:spacing w:after="300" w:line="240" w:lineRule="auto"/>
      <w:ind/>
      <w:contextualSpacing w:val="true"/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character" w:styleId="720" w:customStyle="1">
    <w:name w:val="Title Char"/>
    <w:basedOn w:val="712"/>
    <w:link w:val="719"/>
    <w:uiPriority w:val="10"/>
    <w:pPr>
      <w:pBdr/>
      <w:spacing/>
      <w:ind/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paragraph" w:styleId="721">
    <w:name w:val="Subtitle"/>
    <w:basedOn w:val="698"/>
    <w:next w:val="698"/>
    <w:link w:val="722"/>
    <w:uiPriority w:val="11"/>
    <w:qFormat/>
    <w:pPr>
      <w:numPr>
        <w:ilvl w:val="1"/>
      </w:numPr>
      <w:pBdr/>
      <w:spacing/>
      <w:ind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722" w:customStyle="1">
    <w:name w:val="Subtitle Char"/>
    <w:basedOn w:val="712"/>
    <w:link w:val="721"/>
    <w:uiPriority w:val="11"/>
    <w:pPr>
      <w:pBdr/>
      <w:spacing/>
      <w:ind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723">
    <w:name w:val="List Paragraph"/>
    <w:basedOn w:val="698"/>
    <w:uiPriority w:val="34"/>
    <w:qFormat/>
    <w:pPr>
      <w:pBdr/>
      <w:spacing/>
      <w:ind w:left="720"/>
      <w:contextualSpacing w:val="true"/>
    </w:pPr>
  </w:style>
  <w:style w:type="paragraph" w:styleId="724">
    <w:name w:val="Body Text"/>
    <w:basedOn w:val="698"/>
    <w:link w:val="725"/>
    <w:uiPriority w:val="99"/>
    <w:unhideWhenUsed/>
    <w:pPr>
      <w:pBdr/>
      <w:spacing w:after="120"/>
      <w:ind/>
    </w:pPr>
  </w:style>
  <w:style w:type="character" w:styleId="725" w:customStyle="1">
    <w:name w:val="Body Text Char"/>
    <w:basedOn w:val="712"/>
    <w:link w:val="724"/>
    <w:uiPriority w:val="99"/>
    <w:pPr>
      <w:pBdr/>
      <w:spacing/>
      <w:ind/>
    </w:pPr>
  </w:style>
  <w:style w:type="paragraph" w:styleId="726">
    <w:name w:val="Body Text 2"/>
    <w:basedOn w:val="698"/>
    <w:link w:val="727"/>
    <w:uiPriority w:val="99"/>
    <w:unhideWhenUsed/>
    <w:pPr>
      <w:pBdr/>
      <w:spacing w:after="120" w:line="480" w:lineRule="auto"/>
      <w:ind/>
    </w:pPr>
  </w:style>
  <w:style w:type="character" w:styleId="727" w:customStyle="1">
    <w:name w:val="Body Text 2 Char"/>
    <w:basedOn w:val="712"/>
    <w:link w:val="726"/>
    <w:uiPriority w:val="99"/>
    <w:pPr>
      <w:pBdr/>
      <w:spacing/>
      <w:ind/>
    </w:pPr>
  </w:style>
  <w:style w:type="paragraph" w:styleId="728">
    <w:name w:val="Body Text 3"/>
    <w:basedOn w:val="698"/>
    <w:link w:val="729"/>
    <w:uiPriority w:val="99"/>
    <w:unhideWhenUsed/>
    <w:pPr>
      <w:pBdr/>
      <w:spacing w:after="120"/>
      <w:ind/>
    </w:pPr>
    <w:rPr>
      <w:sz w:val="16"/>
      <w:szCs w:val="16"/>
    </w:rPr>
  </w:style>
  <w:style w:type="character" w:styleId="729" w:customStyle="1">
    <w:name w:val="Body Text 3 Char"/>
    <w:basedOn w:val="712"/>
    <w:link w:val="728"/>
    <w:uiPriority w:val="99"/>
    <w:pPr>
      <w:pBdr/>
      <w:spacing/>
      <w:ind/>
    </w:pPr>
    <w:rPr>
      <w:sz w:val="16"/>
      <w:szCs w:val="16"/>
    </w:rPr>
  </w:style>
  <w:style w:type="paragraph" w:styleId="730">
    <w:name w:val="List"/>
    <w:basedOn w:val="698"/>
    <w:uiPriority w:val="99"/>
    <w:unhideWhenUsed/>
    <w:pPr>
      <w:pBdr/>
      <w:spacing/>
      <w:ind w:hanging="360" w:left="360"/>
      <w:contextualSpacing w:val="true"/>
    </w:pPr>
  </w:style>
  <w:style w:type="paragraph" w:styleId="731">
    <w:name w:val="List 2"/>
    <w:basedOn w:val="698"/>
    <w:uiPriority w:val="99"/>
    <w:unhideWhenUsed/>
    <w:pPr>
      <w:pBdr/>
      <w:spacing/>
      <w:ind w:hanging="360" w:left="720"/>
      <w:contextualSpacing w:val="true"/>
    </w:pPr>
  </w:style>
  <w:style w:type="paragraph" w:styleId="732">
    <w:name w:val="List 3"/>
    <w:basedOn w:val="698"/>
    <w:uiPriority w:val="99"/>
    <w:unhideWhenUsed/>
    <w:pPr>
      <w:pBdr/>
      <w:spacing/>
      <w:ind w:hanging="360" w:left="1080"/>
      <w:contextualSpacing w:val="true"/>
    </w:pPr>
  </w:style>
  <w:style w:type="paragraph" w:styleId="733">
    <w:name w:val="List Bullet"/>
    <w:basedOn w:val="698"/>
    <w:uiPriority w:val="99"/>
    <w:unhideWhenUsed/>
    <w:pPr>
      <w:numPr>
        <w:numId w:val="1"/>
      </w:numPr>
      <w:pBdr/>
      <w:spacing/>
      <w:ind/>
      <w:contextualSpacing w:val="true"/>
    </w:pPr>
  </w:style>
  <w:style w:type="paragraph" w:styleId="734">
    <w:name w:val="List Bullet 2"/>
    <w:basedOn w:val="698"/>
    <w:uiPriority w:val="99"/>
    <w:unhideWhenUsed/>
    <w:pPr>
      <w:numPr>
        <w:numId w:val="2"/>
      </w:numPr>
      <w:pBdr/>
      <w:spacing/>
      <w:ind/>
      <w:contextualSpacing w:val="true"/>
    </w:pPr>
  </w:style>
  <w:style w:type="paragraph" w:styleId="735">
    <w:name w:val="List Bullet 3"/>
    <w:basedOn w:val="698"/>
    <w:uiPriority w:val="99"/>
    <w:unhideWhenUsed/>
    <w:pPr>
      <w:numPr>
        <w:numId w:val="3"/>
      </w:numPr>
      <w:pBdr/>
      <w:spacing/>
      <w:ind/>
      <w:contextualSpacing w:val="true"/>
    </w:pPr>
  </w:style>
  <w:style w:type="paragraph" w:styleId="736">
    <w:name w:val="List Number"/>
    <w:basedOn w:val="698"/>
    <w:uiPriority w:val="99"/>
    <w:unhideWhenUsed/>
    <w:pPr>
      <w:numPr>
        <w:numId w:val="5"/>
      </w:numPr>
      <w:pBdr/>
      <w:spacing/>
      <w:ind/>
      <w:contextualSpacing w:val="true"/>
    </w:pPr>
  </w:style>
  <w:style w:type="paragraph" w:styleId="737">
    <w:name w:val="List Number 2"/>
    <w:basedOn w:val="698"/>
    <w:uiPriority w:val="99"/>
    <w:unhideWhenUsed/>
    <w:pPr>
      <w:numPr>
        <w:numId w:val="6"/>
      </w:numPr>
      <w:pBdr/>
      <w:spacing/>
      <w:ind/>
      <w:contextualSpacing w:val="true"/>
    </w:pPr>
  </w:style>
  <w:style w:type="paragraph" w:styleId="738">
    <w:name w:val="List Number 3"/>
    <w:basedOn w:val="698"/>
    <w:uiPriority w:val="99"/>
    <w:unhideWhenUsed/>
    <w:pPr>
      <w:numPr>
        <w:numId w:val="7"/>
      </w:numPr>
      <w:pBdr/>
      <w:spacing/>
      <w:ind/>
      <w:contextualSpacing w:val="true"/>
    </w:pPr>
  </w:style>
  <w:style w:type="paragraph" w:styleId="739">
    <w:name w:val="List Continue"/>
    <w:basedOn w:val="698"/>
    <w:uiPriority w:val="99"/>
    <w:unhideWhenUsed/>
    <w:pPr>
      <w:pBdr/>
      <w:spacing w:after="120"/>
      <w:ind w:left="360"/>
      <w:contextualSpacing w:val="true"/>
    </w:pPr>
  </w:style>
  <w:style w:type="paragraph" w:styleId="740">
    <w:name w:val="List Continue 2"/>
    <w:basedOn w:val="698"/>
    <w:uiPriority w:val="99"/>
    <w:unhideWhenUsed/>
    <w:pPr>
      <w:pBdr/>
      <w:spacing w:after="120"/>
      <w:ind w:left="720"/>
      <w:contextualSpacing w:val="true"/>
    </w:pPr>
  </w:style>
  <w:style w:type="paragraph" w:styleId="741">
    <w:name w:val="List Continue 3"/>
    <w:basedOn w:val="698"/>
    <w:uiPriority w:val="99"/>
    <w:unhideWhenUsed/>
    <w:pPr>
      <w:pBdr/>
      <w:spacing w:after="120"/>
      <w:ind w:left="1080"/>
      <w:contextualSpacing w:val="true"/>
    </w:pPr>
  </w:style>
  <w:style w:type="paragraph" w:styleId="742">
    <w:name w:val="macro"/>
    <w:link w:val="743"/>
    <w:uiPriority w:val="99"/>
    <w:unhideWhenUsed/>
    <w:pPr>
      <w:pBdr/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  <w:spacing/>
      <w:ind/>
    </w:pPr>
    <w:rPr>
      <w:rFonts w:ascii="Times New Roman" w:hAnsi="Times New Roman"/>
      <w:sz w:val="20"/>
      <w:szCs w:val="20"/>
    </w:rPr>
  </w:style>
  <w:style w:type="character" w:styleId="743" w:customStyle="1">
    <w:name w:val="Macro Text Char"/>
    <w:basedOn w:val="712"/>
    <w:link w:val="742"/>
    <w:uiPriority w:val="99"/>
    <w:pPr>
      <w:pBdr/>
      <w:spacing/>
      <w:ind/>
    </w:pPr>
    <w:rPr>
      <w:rFonts w:ascii="Times New Roman" w:hAnsi="Times New Roman"/>
      <w:sz w:val="20"/>
      <w:szCs w:val="20"/>
    </w:rPr>
  </w:style>
  <w:style w:type="paragraph" w:styleId="744">
    <w:name w:val="Quote"/>
    <w:basedOn w:val="698"/>
    <w:next w:val="698"/>
    <w:link w:val="745"/>
    <w:uiPriority w:val="29"/>
    <w:qFormat/>
    <w:pPr>
      <w:pBdr/>
      <w:spacing/>
      <w:ind/>
    </w:pPr>
    <w:rPr>
      <w:i/>
      <w:iCs/>
      <w:color w:val="000000" w:themeColor="text1"/>
    </w:rPr>
  </w:style>
  <w:style w:type="character" w:styleId="745" w:customStyle="1">
    <w:name w:val="Quote Char"/>
    <w:basedOn w:val="712"/>
    <w:link w:val="744"/>
    <w:uiPriority w:val="29"/>
    <w:pPr>
      <w:pBdr/>
      <w:spacing/>
      <w:ind/>
    </w:pPr>
    <w:rPr>
      <w:i/>
      <w:iCs/>
      <w:color w:val="000000" w:themeColor="text1"/>
    </w:rPr>
  </w:style>
  <w:style w:type="character" w:styleId="746" w:customStyle="1">
    <w:name w:val="Heading 4 Char"/>
    <w:basedOn w:val="712"/>
    <w:link w:val="706"/>
    <w:uiPriority w:val="9"/>
    <w:semiHidden/>
    <w:pPr>
      <w:pBdr/>
      <w:spacing/>
      <w:ind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747" w:customStyle="1">
    <w:name w:val="Heading 5 Char"/>
    <w:basedOn w:val="712"/>
    <w:link w:val="70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748" w:customStyle="1">
    <w:name w:val="Heading 6 Char"/>
    <w:basedOn w:val="712"/>
    <w:link w:val="708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749" w:customStyle="1">
    <w:name w:val="Heading 7 Char"/>
    <w:basedOn w:val="712"/>
    <w:link w:val="709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750" w:customStyle="1">
    <w:name w:val="Heading 8 Char"/>
    <w:basedOn w:val="712"/>
    <w:link w:val="71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751" w:customStyle="1">
    <w:name w:val="Heading 9 Char"/>
    <w:basedOn w:val="712"/>
    <w:link w:val="711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752">
    <w:name w:val="Caption"/>
    <w:basedOn w:val="698"/>
    <w:next w:val="698"/>
    <w:uiPriority w:val="35"/>
    <w:semiHidden/>
    <w:unhideWhenUsed/>
    <w:qFormat/>
    <w:pPr>
      <w:pBdr/>
      <w:spacing w:line="240" w:lineRule="auto"/>
      <w:ind/>
    </w:pPr>
    <w:rPr>
      <w:b/>
      <w:bCs/>
      <w:color w:val="4f81bd" w:themeColor="accent1"/>
      <w:sz w:val="18"/>
      <w:szCs w:val="18"/>
    </w:rPr>
  </w:style>
  <w:style w:type="character" w:styleId="753">
    <w:name w:val="Strong"/>
    <w:basedOn w:val="712"/>
    <w:uiPriority w:val="22"/>
    <w:qFormat/>
    <w:pPr>
      <w:pBdr/>
      <w:spacing/>
      <w:ind/>
    </w:pPr>
    <w:rPr>
      <w:b/>
      <w:bCs/>
    </w:rPr>
  </w:style>
  <w:style w:type="character" w:styleId="754">
    <w:name w:val="Emphasis"/>
    <w:basedOn w:val="712"/>
    <w:uiPriority w:val="20"/>
    <w:qFormat/>
    <w:pPr>
      <w:pBdr/>
      <w:spacing/>
      <w:ind/>
    </w:pPr>
    <w:rPr>
      <w:i/>
      <w:iCs/>
    </w:rPr>
  </w:style>
  <w:style w:type="paragraph" w:styleId="755">
    <w:name w:val="Intense Quote"/>
    <w:basedOn w:val="698"/>
    <w:next w:val="698"/>
    <w:link w:val="756"/>
    <w:uiPriority w:val="30"/>
    <w:qFormat/>
    <w:pPr>
      <w:pBdr>
        <w:bottom w:val="single" w:color="4f81bd" w:themeColor="accent1" w:sz="4" w:space="4"/>
      </w:pBdr>
      <w:spacing w:after="280" w:before="200"/>
      <w:ind w:right="936" w:left="936"/>
    </w:pPr>
    <w:rPr>
      <w:b/>
      <w:bCs/>
      <w:i/>
      <w:iCs/>
      <w:color w:val="4f81bd" w:themeColor="accent1"/>
    </w:rPr>
  </w:style>
  <w:style w:type="character" w:styleId="756" w:customStyle="1">
    <w:name w:val="Intense Quote Char"/>
    <w:basedOn w:val="712"/>
    <w:link w:val="755"/>
    <w:uiPriority w:val="30"/>
    <w:pPr>
      <w:pBdr/>
      <w:spacing/>
      <w:ind/>
    </w:pPr>
    <w:rPr>
      <w:b/>
      <w:bCs/>
      <w:i/>
      <w:iCs/>
      <w:color w:val="4f81bd" w:themeColor="accent1"/>
    </w:rPr>
  </w:style>
  <w:style w:type="character" w:styleId="757">
    <w:name w:val="Subtle Emphasis"/>
    <w:basedOn w:val="712"/>
    <w:uiPriority w:val="19"/>
    <w:qFormat/>
    <w:pPr>
      <w:pBdr/>
      <w:spacing/>
      <w:ind/>
    </w:pPr>
    <w:rPr>
      <w:i/>
      <w:iCs/>
      <w:color w:val="808080" w:themeColor="text1" w:themeTint="7F"/>
    </w:rPr>
  </w:style>
  <w:style w:type="character" w:styleId="758">
    <w:name w:val="Intense Emphasis"/>
    <w:basedOn w:val="712"/>
    <w:uiPriority w:val="21"/>
    <w:qFormat/>
    <w:pPr>
      <w:pBdr/>
      <w:spacing/>
      <w:ind/>
    </w:pPr>
    <w:rPr>
      <w:b/>
      <w:bCs/>
      <w:i/>
      <w:iCs/>
      <w:color w:val="4f81bd" w:themeColor="accent1"/>
    </w:rPr>
  </w:style>
  <w:style w:type="character" w:styleId="759">
    <w:name w:val="Subtle Reference"/>
    <w:basedOn w:val="712"/>
    <w:uiPriority w:val="31"/>
    <w:qFormat/>
    <w:pPr>
      <w:pBdr/>
      <w:spacing/>
      <w:ind/>
    </w:pPr>
    <w:rPr>
      <w:smallCaps/>
      <w:color w:val="c0504d" w:themeColor="accent2"/>
      <w:u w:val="single"/>
    </w:rPr>
  </w:style>
  <w:style w:type="character" w:styleId="760">
    <w:name w:val="Intense Reference"/>
    <w:basedOn w:val="712"/>
    <w:uiPriority w:val="32"/>
    <w:qFormat/>
    <w:pPr>
      <w:pBdr/>
      <w:spacing/>
      <w:ind/>
    </w:pPr>
    <w:rPr>
      <w:b/>
      <w:bCs/>
      <w:smallCaps/>
      <w:color w:val="c0504d" w:themeColor="accent2"/>
      <w:spacing w:val="5"/>
      <w:u w:val="single"/>
    </w:rPr>
  </w:style>
  <w:style w:type="character" w:styleId="761">
    <w:name w:val="Book Title"/>
    <w:basedOn w:val="712"/>
    <w:uiPriority w:val="33"/>
    <w:qFormat/>
    <w:pPr>
      <w:pBdr/>
      <w:spacing/>
      <w:ind/>
    </w:pPr>
    <w:rPr>
      <w:b/>
      <w:bCs/>
      <w:smallCaps/>
      <w:spacing w:val="5"/>
    </w:rPr>
  </w:style>
  <w:style w:type="paragraph" w:styleId="762">
    <w:name w:val="TOC Heading"/>
    <w:basedOn w:val="703"/>
    <w:next w:val="698"/>
    <w:uiPriority w:val="39"/>
    <w:semiHidden/>
    <w:unhideWhenUsed/>
    <w:qFormat/>
    <w:pPr>
      <w:pBdr/>
      <w:spacing/>
      <w:ind/>
      <w:outlineLvl w:val="9"/>
    </w:pPr>
  </w:style>
  <w:style w:type="table" w:styleId="763">
    <w:name w:val="Table Grid"/>
    <w:basedOn w:val="71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ght Shading"/>
    <w:basedOn w:val="713"/>
    <w:uiPriority w:val="60"/>
    <w:pPr>
      <w:pBdr/>
      <w:spacing w:after="0" w:line="240" w:lineRule="auto"/>
      <w:ind/>
    </w:pPr>
    <w:rPr>
      <w:color w:val="000000" w:themeColor="text1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bottom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ght Shading Accent 1"/>
    <w:basedOn w:val="713"/>
    <w:uiPriority w:val="60"/>
    <w:pPr>
      <w:pBdr/>
      <w:spacing w:after="0" w:line="240" w:lineRule="auto"/>
      <w:ind/>
    </w:pPr>
    <w:rPr>
      <w:color w:val="365f91" w:themeColor="accent1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bottom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ght Shading Accent 2"/>
    <w:basedOn w:val="713"/>
    <w:uiPriority w:val="60"/>
    <w:pPr>
      <w:pBdr/>
      <w:spacing w:after="0" w:line="240" w:lineRule="auto"/>
      <w:ind/>
    </w:pPr>
    <w:rPr>
      <w:color w:val="943634" w:themeColor="accent2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bottom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ght Shading Accent 3"/>
    <w:basedOn w:val="713"/>
    <w:uiPriority w:val="60"/>
    <w:pPr>
      <w:pBdr/>
      <w:spacing w:after="0" w:line="240" w:lineRule="auto"/>
      <w:ind/>
    </w:pPr>
    <w:rPr>
      <w:color w:val="76923c" w:themeColor="accent3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bottom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ght Shading Accent 4"/>
    <w:basedOn w:val="713"/>
    <w:uiPriority w:val="60"/>
    <w:pPr>
      <w:pBdr/>
      <w:spacing w:after="0" w:line="240" w:lineRule="auto"/>
      <w:ind/>
    </w:pPr>
    <w:rPr>
      <w:color w:val="5f497a" w:themeColor="accent4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bottom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ght Shading Accent 5"/>
    <w:basedOn w:val="713"/>
    <w:uiPriority w:val="60"/>
    <w:pPr>
      <w:pBdr/>
      <w:spacing w:after="0" w:line="240" w:lineRule="auto"/>
      <w:ind/>
    </w:pPr>
    <w:rPr>
      <w:color w:val="31849b" w:themeColor="accent5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bottom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ght Shading Accent 6"/>
    <w:basedOn w:val="713"/>
    <w:uiPriority w:val="60"/>
    <w:pPr>
      <w:pBdr/>
      <w:spacing w:after="0" w:line="240" w:lineRule="auto"/>
      <w:ind/>
    </w:pPr>
    <w:rPr>
      <w:color w:val="e36c0a" w:themeColor="accent6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bottom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ght List"/>
    <w:basedOn w:val="71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ght List Accent 1"/>
    <w:basedOn w:val="71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ght List Accent 2"/>
    <w:basedOn w:val="71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ght List Accent 3"/>
    <w:basedOn w:val="71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ght List Accent 4"/>
    <w:basedOn w:val="71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ght List Accent 5"/>
    <w:basedOn w:val="71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ght List Accent 6"/>
    <w:basedOn w:val="71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ght Grid"/>
    <w:basedOn w:val="71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ght Grid Accent 1"/>
    <w:basedOn w:val="71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ght Grid Accent 2"/>
    <w:basedOn w:val="71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ght Grid Accent 3"/>
    <w:basedOn w:val="71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ght Grid Accent 4"/>
    <w:basedOn w:val="71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ght Grid Accent 5"/>
    <w:basedOn w:val="71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ght Grid Accent 6"/>
    <w:basedOn w:val="71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Medium Shading 1"/>
    <w:basedOn w:val="71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Medium Shading 1 Accent 1"/>
    <w:basedOn w:val="71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Medium Shading 1 Accent 2"/>
    <w:basedOn w:val="71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Medium Shading 1 Accent 3"/>
    <w:basedOn w:val="71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Medium Shading 1 Accent 4"/>
    <w:basedOn w:val="71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Medium Shading 1 Accent 5"/>
    <w:basedOn w:val="71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Medium Shading 1 Accent 6"/>
    <w:basedOn w:val="71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Medium Shading 2"/>
    <w:basedOn w:val="71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Medium Shading 2 Accent 1"/>
    <w:basedOn w:val="71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Medium Shading 2 Accent 2"/>
    <w:basedOn w:val="71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Medium Shading 2 Accent 3"/>
    <w:basedOn w:val="71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Medium Shading 2 Accent 4"/>
    <w:basedOn w:val="71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Medium Shading 2 Accent 5"/>
    <w:basedOn w:val="71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Medium Shading 2 Accent 6"/>
    <w:basedOn w:val="71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Medium List 1"/>
    <w:basedOn w:val="71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bottom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000000" w:themeColor="text1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Medium List 1 Accent 1"/>
    <w:basedOn w:val="71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bottom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4f81bd" w:themeColor="accent1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Medium List 1 Accent 2"/>
    <w:basedOn w:val="71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bottom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c0504d" w:themeColor="accent2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Medium List 1 Accent 3"/>
    <w:basedOn w:val="71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bottom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9bbb59" w:themeColor="accent3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Medium List 1 Accent 4"/>
    <w:basedOn w:val="71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bottom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8064a2" w:themeColor="accent4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Medium List 1 Accent 5"/>
    <w:basedOn w:val="71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bottom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4bacc6" w:themeColor="accent5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Medium List 1 Accent 6"/>
    <w:basedOn w:val="71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bottom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f79646" w:themeColor="accent6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Medium List 2"/>
    <w:basedOn w:val="71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000000" w:themeColor="text1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000000" w:themeColor="text1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Medium List 2 Accent 1"/>
    <w:basedOn w:val="71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f81bd" w:themeColor="accent1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4f81bd" w:themeColor="accent1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4f81bd" w:themeColor="accen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Medium List 2 Accent 2"/>
    <w:basedOn w:val="71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c0504d" w:themeColor="accent2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c0504d" w:themeColor="accent2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Medium List 2 Accent 3"/>
    <w:basedOn w:val="71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9bbb59" w:themeColor="accent3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9bbb59" w:themeColor="accent3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Medium List 2 Accent 4"/>
    <w:basedOn w:val="71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8064a2" w:themeColor="accent4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8064a2" w:themeColor="accent4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Medium List 2 Accent 5"/>
    <w:basedOn w:val="71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4bacc6" w:themeColor="accent5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4bacc6" w:themeColor="accent5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Medium List 2 Accent 6"/>
    <w:basedOn w:val="71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f79646" w:themeColor="accent6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f79646" w:themeColor="accent6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Medium Grid 1"/>
    <w:basedOn w:val="71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04040" w:themeColor="text1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Medium Grid 1 Accent 1"/>
    <w:basedOn w:val="71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7ba0cd" w:themeColor="accent1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Medium Grid 1 Accent 2"/>
    <w:basedOn w:val="71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cf7b79" w:themeColor="accent2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Medium Grid 1 Accent 3"/>
    <w:basedOn w:val="71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b3cc82" w:themeColor="accent3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Medium Grid 1 Accent 4"/>
    <w:basedOn w:val="71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9f8ab9" w:themeColor="accent4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Medium Grid 1 Accent 5"/>
    <w:basedOn w:val="71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78c0d4" w:themeColor="accent5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Medium Grid 1 Accent 6"/>
    <w:basedOn w:val="71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f9b074" w:themeColor="accent6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Medium Grid 2"/>
    <w:basedOn w:val="71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6e6e6" w:themeFill="text1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cccccc" w:themeFill="tex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Medium Grid 2 Accent 1"/>
    <w:basedOn w:val="71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df2f8" w:themeFill="accent1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be5f1" w:themeFill="accen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Medium Grid 2 Accent 2"/>
    <w:basedOn w:val="71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8eded" w:themeFill="accent2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2dbdb" w:themeFill="accent2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Medium Grid 2 Accent 3"/>
    <w:basedOn w:val="71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5f8ee" w:themeFill="accent3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af1dd" w:themeFill="accent3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Medium Grid 2 Accent 4"/>
    <w:basedOn w:val="71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2eff6" w:themeFill="accent4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5dfec" w:themeFill="accent4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Medium Grid 2 Accent 5"/>
    <w:basedOn w:val="71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df6f9" w:themeFill="accent5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aeef3" w:themeFill="accent5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Medium Grid 2 Accent 6"/>
    <w:basedOn w:val="71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ef4ec" w:themeFill="accent6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de9d9" w:themeFill="accent6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Medium Grid 3"/>
    <w:basedOn w:val="71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Medium Grid 3 Accent 1"/>
    <w:basedOn w:val="71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Medium Grid 3 Accent 2"/>
    <w:basedOn w:val="71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Medium Grid 3 Accent 3"/>
    <w:basedOn w:val="71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Medium Grid 3 Accent 4"/>
    <w:basedOn w:val="71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Medium Grid 3 Accent 5"/>
    <w:basedOn w:val="71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Medium Grid 3 Accent 6"/>
    <w:basedOn w:val="71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Dark List"/>
    <w:basedOn w:val="71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000000" w:themeFill="text1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000000" w:themeFill="tex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Dark List Accent 1"/>
    <w:basedOn w:val="71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4f81bd" w:themeFill="accent1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243f60" w:themeFill="accen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Dark List Accent 2"/>
    <w:basedOn w:val="71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c0504d" w:themeFill="accent2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622423" w:themeFill="accent2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Dark List Accent 3"/>
    <w:basedOn w:val="71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9bbb59" w:themeFill="accent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4e6128" w:themeFill="accent3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Dark List Accent 4"/>
    <w:basedOn w:val="71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8064a2" w:themeFill="accent4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3f3151" w:themeFill="accent4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Dark List Accent 5"/>
    <w:basedOn w:val="71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4bacc6" w:themeFill="accent5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205867" w:themeFill="accent5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Dark List Accent 6"/>
    <w:basedOn w:val="71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79646" w:themeFill="accent6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974706" w:themeFill="accent6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Colorful Shading"/>
    <w:basedOn w:val="71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Colorful Shading Accent 1"/>
    <w:basedOn w:val="71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Colorful Shading Accent 2"/>
    <w:basedOn w:val="71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Colorful Shading Accent 3"/>
    <w:basedOn w:val="71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single" w:color="ffffff" w:themeColor="background1" w:sz="6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Colorful Shading Accent 4"/>
    <w:basedOn w:val="71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Colorful Shading Accent 5"/>
    <w:basedOn w:val="71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Colorful Shading Accent 6"/>
    <w:basedOn w:val="71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Colorful List"/>
    <w:basedOn w:val="71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6e6e6" w:themeFill="tex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ccccc" w:themeFill="text1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Colorful List Accent 1"/>
    <w:basedOn w:val="71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df2f8" w:themeFill="accen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be5f1" w:themeFill="accent1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Colorful List Accent 2"/>
    <w:basedOn w:val="71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8eded" w:themeFill="accent2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2dbdb" w:themeFill="accent2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Colorful List Accent 3"/>
    <w:basedOn w:val="71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5f8ee" w:themeFill="accent3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af1dd" w:themeFill="accent3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664e82" w:themeFill="accent4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664e82" w:themeColor="accent4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Colorful List Accent 4"/>
    <w:basedOn w:val="71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2eff6" w:themeFill="accent4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5dfec" w:themeFill="accent4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e9c40" w:themeFill="accent3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7e9c40" w:themeColor="accent3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Colorful List Accent 5"/>
    <w:basedOn w:val="71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df6f9" w:themeFill="accent5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aeef3" w:themeFill="accent5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2730a" w:themeFill="accent6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f2730a" w:themeColor="accent6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Colorful List Accent 6"/>
    <w:basedOn w:val="71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ef4ec" w:themeFill="accent6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9d9" w:themeFill="accent6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48da5" w:themeFill="accent5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348da5" w:themeColor="accent5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Colorful Grid"/>
    <w:basedOn w:val="71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Colorful Grid Accent 1"/>
    <w:basedOn w:val="71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Colorful Grid Accent 2"/>
    <w:basedOn w:val="71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Colorful Grid Accent 3"/>
    <w:basedOn w:val="71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Colorful Grid Accent 4"/>
    <w:basedOn w:val="71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Colorful Grid Accent 5"/>
    <w:basedOn w:val="71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Colorful Grid Accent 6"/>
    <w:basedOn w:val="71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Manager/>
  <Company/>
  <LinksUpToDate>0</LinksUpToDate>
  <SharedDoc>0</SharedDoc>
  <HyperlinkBase/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revision>2</cp:revision>
  <dcterms:created xsi:type="dcterms:W3CDTF">2013-12-23T23:15:00Z</dcterms:created>
  <dcterms:modified xsi:type="dcterms:W3CDTF">2026-10-24T03:14:45Z</dcterms:modified>
  <cp:category/>
</cp:coreProperties>
</file>