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bin" ContentType="application/vnd.openxmlformats-officedocument.oleObject"/>
  <Default Extension="rels" ContentType="application/vnd.openxmlformats-package.relationships+xml"/>
  <Default Extension="jpeg" ContentType="image/jpeg"/>
  <Default Extension="png" ContentType="image/png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settings.xml" ContentType="application/vnd.openxmlformats-officedocument.wordprocessingml.settings+xml"/>
  <Override PartName="/docProps/app.xml" ContentType="application/vnd.openxmlformats-officedocument.extended-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 w14:paraId="1B30100B">
      <w:pPr>
        <w:pStyle w:val="14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 w:firstLine="0" w:left="0"/>
        <w:rPr>
          <w:rFonts w:ascii="Times New Roman" w:hAnsi="Times New Roman" w:eastAsia="Times New Roman" w:cs="Times New Roman"/>
          <w:sz w:val="36"/>
        </w:rPr>
      </w:pPr>
      <w:r>
        <w:rPr>
          <w:rFonts w:ascii="Times New Roman" w:hAnsi="Times New Roman" w:eastAsia="Times New Roman" w:cs="Times New Roman"/>
          <w:b/>
          <w:color w:val="000000"/>
          <w:sz w:val="36"/>
        </w:rPr>
        <w:t xml:space="preserve">4. Памятка: компенсация расходов на похороны и установку памятника для погибшего военнослужащего</w:t>
      </w:r>
      <w:r>
        <w:rPr>
          <w:rFonts w:ascii="Times New Roman" w:hAnsi="Times New Roman" w:eastAsia="Times New Roman" w:cs="Times New Roman"/>
          <w:sz w:val="36"/>
        </w:rPr>
      </w:r>
      <w:r>
        <w:rPr>
          <w:rFonts w:ascii="Times New Roman" w:hAnsi="Times New Roman" w:eastAsia="Times New Roman" w:cs="Times New Roman"/>
          <w:sz w:val="36"/>
        </w:rPr>
      </w:r>
    </w:p>
    <w:p w14:paraId="77D2B525">
      <w:pPr>
        <w:pStyle w:val="141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 w:firstLine="0" w:left="0"/>
        <w:rPr>
          <w:rFonts w:ascii="Times New Roman" w:hAnsi="Times New Roman" w:eastAsia="Times New Roman" w:cs="Times New Roman"/>
          <w:sz w:val="28"/>
        </w:rPr>
      </w:pPr>
      <w:r>
        <w:rPr>
          <w:rFonts w:ascii="Times New Roman" w:hAnsi="Times New Roman" w:eastAsia="Times New Roman" w:cs="Times New Roman"/>
          <w:b/>
          <w:color w:val="000000"/>
          <w:sz w:val="28"/>
        </w:rPr>
        <w:t xml:space="preserve">Оплата ритуальных услуг (погребение)</w:t>
      </w:r>
      <w:r>
        <w:rPr>
          <w:rFonts w:ascii="Times New Roman" w:hAnsi="Times New Roman" w:eastAsia="Times New Roman" w:cs="Times New Roman"/>
          <w:sz w:val="28"/>
        </w:rPr>
      </w:r>
      <w:r>
        <w:rPr>
          <w:rFonts w:ascii="Times New Roman" w:hAnsi="Times New Roman" w:eastAsia="Times New Roman" w:cs="Times New Roman"/>
          <w:sz w:val="28"/>
        </w:rPr>
      </w:r>
    </w:p>
    <w:p w14:paraId="5C614961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 w:firstLine="0" w:left="0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Кто может получить компенсацию.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 Родственники, законные представители или иные лица, которые взяли на себя организацию похорон. Если таких лиц нет либо они письменно отказались — расходы оплачивает воинская часть напрямую ритуальной службе.</w:t>
      </w:r>
      <w:r>
        <w:rPr>
          <w:rFonts w:ascii="Times New Roman" w:hAnsi="Times New Roman" w:eastAsia="Times New Roman" w:cs="Times New Roman"/>
          <w:sz w:val="24"/>
        </w:rPr>
      </w:r>
      <w:r>
        <w:rPr>
          <w:rFonts w:ascii="Times New Roman" w:hAnsi="Times New Roman" w:eastAsia="Times New Roman" w:cs="Times New Roman"/>
          <w:sz w:val="24"/>
        </w:rPr>
      </w:r>
    </w:p>
    <w:p w14:paraId="13887570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 w:firstLine="0" w:left="0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Размер компенсации.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 По фактическим затратам, подтверждённым документами, но не выше установленной нормы:</w:t>
      </w:r>
      <w:r>
        <w:rPr>
          <w:rFonts w:ascii="Times New Roman" w:hAnsi="Times New Roman" w:eastAsia="Times New Roman" w:cs="Times New Roman"/>
          <w:sz w:val="24"/>
        </w:rPr>
      </w:r>
      <w:r>
        <w:rPr>
          <w:rFonts w:ascii="Times New Roman" w:hAnsi="Times New Roman" w:eastAsia="Times New Roman" w:cs="Times New Roman"/>
          <w:sz w:val="24"/>
        </w:rPr>
      </w:r>
    </w:p>
    <w:p w14:paraId="375F63F1">
      <w:pPr>
        <w:pStyle w:val="668"/>
        <w:numPr>
          <w:ilvl w:val="0"/>
          <w:numId w:val="1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до 48 000 рублей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 — в большинстве регионов;</w:t>
      </w:r>
      <w:r>
        <w:rPr>
          <w:rFonts w:ascii="Times New Roman" w:hAnsi="Times New Roman" w:eastAsia="Times New Roman" w:cs="Times New Roman"/>
          <w:sz w:val="24"/>
        </w:rPr>
      </w:r>
      <w:r>
        <w:rPr>
          <w:rFonts w:ascii="Times New Roman" w:hAnsi="Times New Roman" w:eastAsia="Times New Roman" w:cs="Times New Roman"/>
          <w:sz w:val="24"/>
        </w:rPr>
      </w:r>
    </w:p>
    <w:p w14:paraId="64B27D80">
      <w:pPr>
        <w:pStyle w:val="668"/>
        <w:numPr>
          <w:ilvl w:val="0"/>
          <w:numId w:val="1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до 66 000 рублей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 — в Москве, Санкт‑Петербурге и Севастополе (данные на 2023 год).</w:t>
      </w:r>
      <w:r>
        <w:rPr>
          <w:rFonts w:ascii="Times New Roman" w:hAnsi="Times New Roman" w:eastAsia="Times New Roman" w:cs="Times New Roman"/>
          <w:sz w:val="24"/>
        </w:rPr>
      </w:r>
      <w:r>
        <w:rPr>
          <w:rFonts w:ascii="Times New Roman" w:hAnsi="Times New Roman" w:eastAsia="Times New Roman" w:cs="Times New Roman"/>
          <w:sz w:val="24"/>
        </w:rPr>
      </w:r>
    </w:p>
    <w:p w14:paraId="2D3AD6FD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 w:firstLine="0" w:left="0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Какие услуги компенсируют:</w:t>
      </w:r>
      <w:r>
        <w:rPr>
          <w:rFonts w:ascii="Times New Roman" w:hAnsi="Times New Roman" w:eastAsia="Times New Roman" w:cs="Times New Roman"/>
          <w:sz w:val="24"/>
        </w:rPr>
      </w:r>
      <w:r>
        <w:rPr>
          <w:rFonts w:ascii="Times New Roman" w:hAnsi="Times New Roman" w:eastAsia="Times New Roman" w:cs="Times New Roman"/>
          <w:sz w:val="24"/>
        </w:rPr>
      </w:r>
    </w:p>
    <w:p w14:paraId="34E2A1FA">
      <w:pPr>
        <w:pStyle w:val="668"/>
        <w:numPr>
          <w:ilvl w:val="0"/>
          <w:numId w:val="2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оформление документов для погребения;</w:t>
      </w:r>
      <w:r>
        <w:rPr>
          <w:rFonts w:ascii="Times New Roman" w:hAnsi="Times New Roman" w:eastAsia="Times New Roman" w:cs="Times New Roman"/>
          <w:sz w:val="24"/>
        </w:rPr>
      </w:r>
      <w:r>
        <w:rPr>
          <w:rFonts w:ascii="Times New Roman" w:hAnsi="Times New Roman" w:eastAsia="Times New Roman" w:cs="Times New Roman"/>
          <w:sz w:val="24"/>
        </w:rPr>
      </w:r>
    </w:p>
    <w:p w14:paraId="3F11994D">
      <w:pPr>
        <w:pStyle w:val="668"/>
        <w:numPr>
          <w:ilvl w:val="0"/>
          <w:numId w:val="2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перевозка тела в морг, услуги морга;</w:t>
      </w:r>
      <w:r>
        <w:rPr>
          <w:rFonts w:ascii="Times New Roman" w:hAnsi="Times New Roman" w:eastAsia="Times New Roman" w:cs="Times New Roman"/>
          <w:sz w:val="24"/>
        </w:rPr>
      </w:r>
      <w:r>
        <w:rPr>
          <w:rFonts w:ascii="Times New Roman" w:hAnsi="Times New Roman" w:eastAsia="Times New Roman" w:cs="Times New Roman"/>
          <w:sz w:val="24"/>
        </w:rPr>
      </w:r>
    </w:p>
    <w:p w14:paraId="79B7DAE4">
      <w:pPr>
        <w:pStyle w:val="668"/>
        <w:numPr>
          <w:ilvl w:val="0"/>
          <w:numId w:val="2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предоставление и доставка гроба, урны, венка;</w:t>
      </w:r>
      <w:r>
        <w:rPr>
          <w:rFonts w:ascii="Times New Roman" w:hAnsi="Times New Roman" w:eastAsia="Times New Roman" w:cs="Times New Roman"/>
          <w:sz w:val="24"/>
        </w:rPr>
      </w:r>
      <w:r>
        <w:rPr>
          <w:rFonts w:ascii="Times New Roman" w:hAnsi="Times New Roman" w:eastAsia="Times New Roman" w:cs="Times New Roman"/>
          <w:sz w:val="24"/>
        </w:rPr>
      </w:r>
    </w:p>
    <w:p w14:paraId="15022FA7">
      <w:pPr>
        <w:pStyle w:val="668"/>
        <w:numPr>
          <w:ilvl w:val="0"/>
          <w:numId w:val="2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перевозка тела (останков) к месту погребения или кремации;</w:t>
      </w:r>
      <w:r>
        <w:rPr>
          <w:rFonts w:ascii="Times New Roman" w:hAnsi="Times New Roman" w:eastAsia="Times New Roman" w:cs="Times New Roman"/>
          <w:sz w:val="24"/>
        </w:rPr>
      </w:r>
      <w:r>
        <w:rPr>
          <w:rFonts w:ascii="Times New Roman" w:hAnsi="Times New Roman" w:eastAsia="Times New Roman" w:cs="Times New Roman"/>
          <w:sz w:val="24"/>
        </w:rPr>
      </w:r>
    </w:p>
    <w:p w14:paraId="77B42136">
      <w:pPr>
        <w:pStyle w:val="668"/>
        <w:numPr>
          <w:ilvl w:val="0"/>
          <w:numId w:val="2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само погребение либо кремация.</w:t>
      </w:r>
      <w:r>
        <w:rPr>
          <w:rFonts w:ascii="Times New Roman" w:hAnsi="Times New Roman" w:eastAsia="Times New Roman" w:cs="Times New Roman"/>
          <w:sz w:val="24"/>
        </w:rPr>
      </w:r>
      <w:r>
        <w:rPr>
          <w:rFonts w:ascii="Times New Roman" w:hAnsi="Times New Roman" w:eastAsia="Times New Roman" w:cs="Times New Roman"/>
          <w:sz w:val="24"/>
        </w:rPr>
      </w:r>
    </w:p>
    <w:p w14:paraId="4989AB56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 w:firstLine="0" w:left="0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Когда компенсацию не выплачивают.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 Если похороны уже произведены за счёт государства либо если была выплачена социальная выплата на погребение (по ФЗ № 8‑ФЗ или по постановлению № 941).</w:t>
      </w:r>
      <w:r>
        <w:rPr>
          <w:rFonts w:ascii="Times New Roman" w:hAnsi="Times New Roman" w:eastAsia="Times New Roman" w:cs="Times New Roman"/>
          <w:sz w:val="24"/>
        </w:rPr>
      </w:r>
      <w:r>
        <w:rPr>
          <w:rFonts w:ascii="Times New Roman" w:hAnsi="Times New Roman" w:eastAsia="Times New Roman" w:cs="Times New Roman"/>
          <w:sz w:val="24"/>
        </w:rPr>
      </w:r>
    </w:p>
    <w:p w14:paraId="626685B8">
      <w:pPr>
        <w:pStyle w:val="141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 w:firstLine="0" w:left="0"/>
        <w:rPr>
          <w:rFonts w:ascii="Times New Roman" w:hAnsi="Times New Roman" w:eastAsia="Times New Roman" w:cs="Times New Roman"/>
          <w:sz w:val="28"/>
        </w:rPr>
      </w:pPr>
      <w:r>
        <w:rPr>
          <w:rFonts w:ascii="Times New Roman" w:hAnsi="Times New Roman" w:eastAsia="Times New Roman" w:cs="Times New Roman"/>
          <w:b/>
          <w:color w:val="000000"/>
          <w:sz w:val="28"/>
        </w:rPr>
        <w:t xml:space="preserve">Компенсация расходов на надгробие (памятник)</w:t>
      </w:r>
      <w:r>
        <w:rPr>
          <w:rFonts w:ascii="Times New Roman" w:hAnsi="Times New Roman" w:eastAsia="Times New Roman" w:cs="Times New Roman"/>
          <w:sz w:val="28"/>
        </w:rPr>
      </w:r>
      <w:r>
        <w:rPr>
          <w:rFonts w:ascii="Times New Roman" w:hAnsi="Times New Roman" w:eastAsia="Times New Roman" w:cs="Times New Roman"/>
          <w:sz w:val="28"/>
        </w:rPr>
      </w:r>
    </w:p>
    <w:p w14:paraId="73F7A7B0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 w:firstLine="0" w:left="0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Суммы компенсации (на 2023 год):</w:t>
      </w:r>
      <w:r>
        <w:rPr>
          <w:rFonts w:ascii="Times New Roman" w:hAnsi="Times New Roman" w:eastAsia="Times New Roman" w:cs="Times New Roman"/>
          <w:sz w:val="24"/>
        </w:rPr>
      </w:r>
      <w:r>
        <w:rPr>
          <w:rFonts w:ascii="Times New Roman" w:hAnsi="Times New Roman" w:eastAsia="Times New Roman" w:cs="Times New Roman"/>
          <w:sz w:val="24"/>
        </w:rPr>
      </w:r>
    </w:p>
    <w:p w14:paraId="3BDB2D54">
      <w:pPr>
        <w:pStyle w:val="668"/>
        <w:numPr>
          <w:ilvl w:val="0"/>
          <w:numId w:val="3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до 33 005 рублей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 — для военнослужащих, проходивших службу по призыву;</w:t>
      </w:r>
      <w:r>
        <w:rPr>
          <w:rFonts w:ascii="Times New Roman" w:hAnsi="Times New Roman" w:eastAsia="Times New Roman" w:cs="Times New Roman"/>
          <w:sz w:val="24"/>
        </w:rPr>
      </w:r>
      <w:r>
        <w:rPr>
          <w:rFonts w:ascii="Times New Roman" w:hAnsi="Times New Roman" w:eastAsia="Times New Roman" w:cs="Times New Roman"/>
          <w:sz w:val="24"/>
        </w:rPr>
      </w:r>
    </w:p>
    <w:p w14:paraId="6F36274E">
      <w:pPr>
        <w:pStyle w:val="668"/>
        <w:numPr>
          <w:ilvl w:val="0"/>
          <w:numId w:val="3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до 41 196 рублей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 — для военнослужащих по контракту.</w:t>
      </w:r>
      <w:r>
        <w:rPr>
          <w:rFonts w:ascii="Times New Roman" w:hAnsi="Times New Roman" w:eastAsia="Times New Roman" w:cs="Times New Roman"/>
          <w:sz w:val="24"/>
        </w:rPr>
      </w:r>
      <w:r>
        <w:rPr>
          <w:rFonts w:ascii="Times New Roman" w:hAnsi="Times New Roman" w:eastAsia="Times New Roman" w:cs="Times New Roman"/>
          <w:sz w:val="24"/>
        </w:rPr>
      </w:r>
    </w:p>
    <w:p w14:paraId="6942FF7B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 w:firstLine="0" w:left="0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Важное условие: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 деньги перечисляют только 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после того, как памятник изготовлен и фактически установлен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 на могиле.</w:t>
      </w:r>
      <w:r>
        <w:rPr>
          <w:rFonts w:ascii="Times New Roman" w:hAnsi="Times New Roman" w:eastAsia="Times New Roman" w:cs="Times New Roman"/>
          <w:sz w:val="24"/>
        </w:rPr>
      </w:r>
      <w:r>
        <w:rPr>
          <w:rFonts w:ascii="Times New Roman" w:hAnsi="Times New Roman" w:eastAsia="Times New Roman" w:cs="Times New Roman"/>
          <w:sz w:val="24"/>
        </w:rPr>
      </w:r>
    </w:p>
    <w:p w14:paraId="1ED29F31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 w:firstLine="0" w:left="0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Куда обращаться.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 В военный комиссариат по месту погребения либо по месту учёта погибшего.</w:t>
      </w:r>
      <w:r>
        <w:rPr>
          <w:rFonts w:ascii="Times New Roman" w:hAnsi="Times New Roman" w:eastAsia="Times New Roman" w:cs="Times New Roman"/>
          <w:sz w:val="24"/>
        </w:rPr>
      </w:r>
      <w:r>
        <w:rPr>
          <w:rFonts w:ascii="Times New Roman" w:hAnsi="Times New Roman" w:eastAsia="Times New Roman" w:cs="Times New Roman"/>
          <w:sz w:val="24"/>
        </w:rPr>
      </w:r>
    </w:p>
    <w:p w14:paraId="7355FA09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 w:firstLine="0" w:left="0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Документы для возмещения расходов:</w:t>
      </w:r>
      <w:r>
        <w:rPr>
          <w:rFonts w:ascii="Times New Roman" w:hAnsi="Times New Roman" w:eastAsia="Times New Roman" w:cs="Times New Roman"/>
          <w:sz w:val="24"/>
        </w:rPr>
      </w:r>
      <w:r>
        <w:rPr>
          <w:rFonts w:ascii="Times New Roman" w:hAnsi="Times New Roman" w:eastAsia="Times New Roman" w:cs="Times New Roman"/>
          <w:sz w:val="24"/>
        </w:rPr>
      </w:r>
    </w:p>
    <w:p w14:paraId="19B7F0E8">
      <w:pPr>
        <w:pStyle w:val="668"/>
        <w:numPr>
          <w:ilvl w:val="0"/>
          <w:numId w:val="4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заявление на имя военного комиссара о возмещении расходов;</w:t>
      </w:r>
      <w:r>
        <w:rPr>
          <w:rFonts w:ascii="Times New Roman" w:hAnsi="Times New Roman" w:eastAsia="Times New Roman" w:cs="Times New Roman"/>
          <w:sz w:val="24"/>
        </w:rPr>
      </w:r>
      <w:r>
        <w:rPr>
          <w:rFonts w:ascii="Times New Roman" w:hAnsi="Times New Roman" w:eastAsia="Times New Roman" w:cs="Times New Roman"/>
          <w:sz w:val="24"/>
        </w:rPr>
      </w:r>
    </w:p>
    <w:p w14:paraId="39D1AEA6">
      <w:pPr>
        <w:pStyle w:val="668"/>
        <w:numPr>
          <w:ilvl w:val="0"/>
          <w:numId w:val="4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документы, подтверждающие оплату работ по изготовлению и установке памятника (с прейскурантом);</w:t>
      </w:r>
      <w:r>
        <w:rPr>
          <w:rFonts w:ascii="Times New Roman" w:hAnsi="Times New Roman" w:eastAsia="Times New Roman" w:cs="Times New Roman"/>
          <w:sz w:val="24"/>
        </w:rPr>
      </w:r>
      <w:r>
        <w:rPr>
          <w:rFonts w:ascii="Times New Roman" w:hAnsi="Times New Roman" w:eastAsia="Times New Roman" w:cs="Times New Roman"/>
          <w:sz w:val="24"/>
        </w:rPr>
      </w:r>
    </w:p>
    <w:p w14:paraId="069C9D4D">
      <w:pPr>
        <w:pStyle w:val="668"/>
        <w:numPr>
          <w:ilvl w:val="0"/>
          <w:numId w:val="4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свидетельство о смерти;</w:t>
      </w:r>
      <w:r>
        <w:rPr>
          <w:rFonts w:ascii="Times New Roman" w:hAnsi="Times New Roman" w:eastAsia="Times New Roman" w:cs="Times New Roman"/>
          <w:sz w:val="24"/>
        </w:rPr>
      </w:r>
      <w:r>
        <w:rPr>
          <w:rFonts w:ascii="Times New Roman" w:hAnsi="Times New Roman" w:eastAsia="Times New Roman" w:cs="Times New Roman"/>
          <w:sz w:val="24"/>
        </w:rPr>
      </w:r>
    </w:p>
    <w:p w14:paraId="4E9EA6E3">
      <w:pPr>
        <w:pStyle w:val="668"/>
        <w:numPr>
          <w:ilvl w:val="0"/>
          <w:numId w:val="4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справка о месте захоронения;</w:t>
      </w:r>
      <w:r>
        <w:rPr>
          <w:rFonts w:ascii="Times New Roman" w:hAnsi="Times New Roman" w:eastAsia="Times New Roman" w:cs="Times New Roman"/>
          <w:sz w:val="24"/>
        </w:rPr>
      </w:r>
      <w:r>
        <w:rPr>
          <w:rFonts w:ascii="Times New Roman" w:hAnsi="Times New Roman" w:eastAsia="Times New Roman" w:cs="Times New Roman"/>
          <w:sz w:val="24"/>
        </w:rPr>
      </w:r>
    </w:p>
    <w:p w14:paraId="2BDFBDC7">
      <w:pPr>
        <w:pStyle w:val="668"/>
        <w:numPr>
          <w:ilvl w:val="0"/>
          <w:numId w:val="4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удостоверение (участника войны, ветерана боевых действий и т. п.) — если есть;</w:t>
      </w:r>
      <w:r>
        <w:rPr>
          <w:rFonts w:ascii="Times New Roman" w:hAnsi="Times New Roman" w:eastAsia="Times New Roman" w:cs="Times New Roman"/>
          <w:sz w:val="24"/>
        </w:rPr>
      </w:r>
      <w:r>
        <w:rPr>
          <w:rFonts w:ascii="Times New Roman" w:hAnsi="Times New Roman" w:eastAsia="Times New Roman" w:cs="Times New Roman"/>
          <w:sz w:val="24"/>
        </w:rPr>
      </w:r>
    </w:p>
    <w:p w14:paraId="4BC8D55D">
      <w:pPr>
        <w:pStyle w:val="668"/>
        <w:numPr>
          <w:ilvl w:val="0"/>
          <w:numId w:val="4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фото или иной документ, подтверждающий, что памятник уже стоит на могиле.</w:t>
      </w:r>
      <w:r>
        <w:rPr>
          <w:rFonts w:ascii="Times New Roman" w:hAnsi="Times New Roman" w:eastAsia="Times New Roman" w:cs="Times New Roman"/>
          <w:sz w:val="24"/>
        </w:rPr>
      </w:r>
      <w:r>
        <w:rPr>
          <w:rFonts w:ascii="Times New Roman" w:hAnsi="Times New Roman" w:eastAsia="Times New Roman" w:cs="Times New Roman"/>
          <w:sz w:val="24"/>
        </w:rPr>
      </w:r>
    </w:p>
    <w:p w14:paraId="4AE0B455">
      <w:pPr>
        <w:pStyle w:val="141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 w:firstLine="0" w:left="0"/>
        <w:rPr>
          <w:rFonts w:ascii="Times New Roman" w:hAnsi="Times New Roman" w:eastAsia="Times New Roman" w:cs="Times New Roman"/>
          <w:sz w:val="28"/>
        </w:rPr>
      </w:pPr>
      <w:r>
        <w:rPr>
          <w:rFonts w:ascii="Times New Roman" w:hAnsi="Times New Roman" w:eastAsia="Times New Roman" w:cs="Times New Roman"/>
          <w:b/>
          <w:color w:val="000000"/>
          <w:sz w:val="28"/>
        </w:rPr>
        <w:t xml:space="preserve">Практические рекомендации (с учётом работы с выплатами и документами)</w:t>
      </w:r>
      <w:r>
        <w:rPr>
          <w:rFonts w:ascii="Times New Roman" w:hAnsi="Times New Roman" w:eastAsia="Times New Roman" w:cs="Times New Roman"/>
          <w:sz w:val="28"/>
        </w:rPr>
      </w:r>
      <w:r>
        <w:rPr>
          <w:rFonts w:ascii="Times New Roman" w:hAnsi="Times New Roman" w:eastAsia="Times New Roman" w:cs="Times New Roman"/>
          <w:sz w:val="28"/>
        </w:rPr>
      </w:r>
    </w:p>
    <w:p w14:paraId="4F6D4C9C">
      <w:pPr>
        <w:pStyle w:val="668"/>
        <w:numPr>
          <w:ilvl w:val="0"/>
          <w:numId w:val="5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Собирайте чеки и договоры сразу.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 Для компенсации нужны именно подтверждающие документы: кассовые чеки, квитанции, договор с ритуальной службой, акт выполненных работ. Просите, чтобы в документах чётко указывали перечень услуг и их стоимость.</w:t>
      </w:r>
      <w:r>
        <w:rPr>
          <w:rFonts w:ascii="Times New Roman" w:hAnsi="Times New Roman" w:eastAsia="Times New Roman" w:cs="Times New Roman"/>
          <w:sz w:val="24"/>
        </w:rPr>
      </w:r>
      <w:r>
        <w:rPr>
          <w:rFonts w:ascii="Times New Roman" w:hAnsi="Times New Roman" w:eastAsia="Times New Roman" w:cs="Times New Roman"/>
          <w:sz w:val="24"/>
        </w:rPr>
      </w:r>
    </w:p>
    <w:p w14:paraId="2C7CD553">
      <w:pPr>
        <w:pStyle w:val="668"/>
        <w:numPr>
          <w:ilvl w:val="0"/>
          <w:numId w:val="5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Не смешивайте выплаты.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 Если планируете получать социальное пособие на погребение, помните: тогда компенсацию по линии Минобороны уже не дадут. Решите заранее, какой вариант выгоднее и удобнее.</w:t>
      </w:r>
      <w:r>
        <w:rPr>
          <w:rFonts w:ascii="Times New Roman" w:hAnsi="Times New Roman" w:eastAsia="Times New Roman" w:cs="Times New Roman"/>
          <w:sz w:val="24"/>
        </w:rPr>
      </w:r>
      <w:r>
        <w:rPr>
          <w:rFonts w:ascii="Times New Roman" w:hAnsi="Times New Roman" w:eastAsia="Times New Roman" w:cs="Times New Roman"/>
          <w:sz w:val="24"/>
        </w:rPr>
      </w:r>
    </w:p>
    <w:p w14:paraId="3AB363B3">
      <w:pPr>
        <w:pStyle w:val="668"/>
        <w:numPr>
          <w:ilvl w:val="0"/>
          <w:numId w:val="5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Фиксируйте этапы.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 При заказе памятника попросите акт после изготовления и отдельный акт после установки — это упростит подачу документов в военкомат.</w:t>
      </w:r>
      <w:r>
        <w:rPr>
          <w:rFonts w:ascii="Times New Roman" w:hAnsi="Times New Roman" w:eastAsia="Times New Roman" w:cs="Times New Roman"/>
          <w:sz w:val="24"/>
        </w:rPr>
      </w:r>
      <w:r>
        <w:rPr>
          <w:rFonts w:ascii="Times New Roman" w:hAnsi="Times New Roman" w:eastAsia="Times New Roman" w:cs="Times New Roman"/>
          <w:sz w:val="24"/>
        </w:rPr>
      </w:r>
    </w:p>
    <w:p w14:paraId="1F9A5F12">
      <w:pPr>
        <w:pStyle w:val="668"/>
        <w:numPr>
          <w:ilvl w:val="0"/>
          <w:numId w:val="5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Фотофиксация обязательна.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 Для военкомата нужно подтверждение, что памятник реально установлен. Сделайте несколько фото с разных ракурсов, включая общий план могилы и табличку с ФИО.</w:t>
      </w:r>
      <w:r>
        <w:rPr>
          <w:rFonts w:ascii="Times New Roman" w:hAnsi="Times New Roman" w:eastAsia="Times New Roman" w:cs="Times New Roman"/>
          <w:sz w:val="24"/>
        </w:rPr>
      </w:r>
      <w:r>
        <w:rPr>
          <w:rFonts w:ascii="Times New Roman" w:hAnsi="Times New Roman" w:eastAsia="Times New Roman" w:cs="Times New Roman"/>
          <w:sz w:val="24"/>
        </w:rPr>
      </w:r>
    </w:p>
    <w:p w14:paraId="38EBC03B">
      <w:pPr>
        <w:pStyle w:val="668"/>
        <w:numPr>
          <w:ilvl w:val="0"/>
          <w:numId w:val="5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Проверяйте суммы и нормы.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 Нормы периодически индексируют: перед подачей заявления уточните актуальный размер компенсации в военкомате.</w:t>
      </w:r>
      <w:r>
        <w:rPr>
          <w:rFonts w:ascii="Times New Roman" w:hAnsi="Times New Roman" w:eastAsia="Times New Roman" w:cs="Times New Roman"/>
          <w:sz w:val="24"/>
        </w:rPr>
      </w:r>
      <w:r>
        <w:rPr>
          <w:rFonts w:ascii="Times New Roman" w:hAnsi="Times New Roman" w:eastAsia="Times New Roman" w:cs="Times New Roman"/>
          <w:sz w:val="24"/>
        </w:rPr>
      </w:r>
    </w:p>
    <w:p w14:paraId="5C5417F6">
      <w:pPr>
        <w:pStyle w:val="141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 w:firstLine="0" w:left="0"/>
        <w:rPr>
          <w:rFonts w:ascii="Times New Roman" w:hAnsi="Times New Roman" w:eastAsia="Times New Roman" w:cs="Times New Roman"/>
          <w:sz w:val="28"/>
        </w:rPr>
      </w:pPr>
      <w:r>
        <w:rPr>
          <w:rFonts w:ascii="Times New Roman" w:hAnsi="Times New Roman" w:eastAsia="Times New Roman" w:cs="Times New Roman"/>
          <w:b/>
          <w:color w:val="000000"/>
          <w:sz w:val="28"/>
        </w:rPr>
        <w:t xml:space="preserve">Передача наград и документов к ним</w:t>
      </w:r>
      <w:r>
        <w:rPr>
          <w:rFonts w:ascii="Times New Roman" w:hAnsi="Times New Roman" w:eastAsia="Times New Roman" w:cs="Times New Roman"/>
          <w:sz w:val="28"/>
        </w:rPr>
      </w:r>
      <w:r>
        <w:rPr>
          <w:rFonts w:ascii="Times New Roman" w:hAnsi="Times New Roman" w:eastAsia="Times New Roman" w:cs="Times New Roman"/>
          <w:sz w:val="28"/>
        </w:rPr>
      </w:r>
    </w:p>
    <w:p w14:paraId="583BB379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 w:firstLine="0" w:left="0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Орден вместе с документами передаётся:</w:t>
      </w:r>
      <w:r>
        <w:rPr>
          <w:rFonts w:ascii="Times New Roman" w:hAnsi="Times New Roman" w:eastAsia="Times New Roman" w:cs="Times New Roman"/>
          <w:sz w:val="24"/>
        </w:rPr>
      </w:r>
      <w:r>
        <w:rPr>
          <w:rFonts w:ascii="Times New Roman" w:hAnsi="Times New Roman" w:eastAsia="Times New Roman" w:cs="Times New Roman"/>
          <w:sz w:val="24"/>
        </w:rPr>
      </w:r>
    </w:p>
    <w:p w14:paraId="6DA836D3">
      <w:pPr>
        <w:pStyle w:val="668"/>
        <w:numPr>
          <w:ilvl w:val="0"/>
          <w:numId w:val="6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Тому, кого сам боец указал распорядителем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 в личном деле.</w:t>
      </w:r>
      <w:r>
        <w:rPr>
          <w:rFonts w:ascii="Times New Roman" w:hAnsi="Times New Roman" w:eastAsia="Times New Roman" w:cs="Times New Roman"/>
          <w:sz w:val="24"/>
        </w:rPr>
      </w:r>
      <w:r>
        <w:rPr>
          <w:rFonts w:ascii="Times New Roman" w:hAnsi="Times New Roman" w:eastAsia="Times New Roman" w:cs="Times New Roman"/>
          <w:sz w:val="24"/>
        </w:rPr>
      </w:r>
    </w:p>
    <w:p w14:paraId="2065812B">
      <w:pPr>
        <w:pStyle w:val="668"/>
        <w:numPr>
          <w:ilvl w:val="0"/>
          <w:numId w:val="6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Если распорядитель не указан — членам семьи 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в приоритетном порядке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: сначала детям, затем супруге, затем родителям.</w:t>
      </w:r>
      <w:r>
        <w:rPr>
          <w:rFonts w:ascii="Times New Roman" w:hAnsi="Times New Roman" w:eastAsia="Times New Roman" w:cs="Times New Roman"/>
          <w:sz w:val="24"/>
        </w:rPr>
      </w:r>
      <w:r>
        <w:rPr>
          <w:rFonts w:ascii="Times New Roman" w:hAnsi="Times New Roman" w:eastAsia="Times New Roman" w:cs="Times New Roman"/>
          <w:sz w:val="24"/>
        </w:rPr>
      </w:r>
    </w:p>
    <w:p w14:paraId="01096299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 w:firstLine="0" w:left="0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Учитывая ваш опыт работы в сфере наград и выплат, при приёме наград и удостоверений имеет смысл сразу сверить комплектность (орден, планка, удостоверение, футляр при наличии) и оформить краткую расписку о приёме — это защитит от возможных споров и ускорит 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дальнейшие процедуры.</w:t>
      </w:r>
      <w:r>
        <w:rPr>
          <w:rFonts w:ascii="Times New Roman" w:hAnsi="Times New Roman" w:eastAsia="Times New Roman" w:cs="Times New Roman"/>
          <w:sz w:val="24"/>
        </w:rPr>
      </w:r>
      <w:r>
        <w:rPr>
          <w:rFonts w:ascii="Times New Roman" w:hAnsi="Times New Roman" w:eastAsia="Times New Roman" w:cs="Times New Roman"/>
          <w:sz w:val="24"/>
        </w:rPr>
      </w:r>
    </w:p>
    <w:p>
      <w:pPr>
        <w:pBdr/>
        <w:spacing/>
        <w:ind/>
        <w:rPr/>
      </w:pPr>
      <w:r/>
      <w:r/>
    </w:p>
    <w:sectPr>
      <w:footnotePr/>
      <w:endnotePr/>
      <w:type w:val="nextPage"/>
      <w:pgSz w:h="16838" w:orient="portrait" w:w="11906"/>
      <w:pgMar w:top="1134" w:right="850" w:bottom="1134" w:left="1701" w:header="709" w:footer="709" w:gutter="0"/>
      <w:cols w:num="1" w:sep="0" w:space="708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/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Wingdings">
    <w:panose1 w:val="05010000000000000000"/>
  </w:font>
  <w:font w:name="Courier New">
    <w:panose1 w:val="02070409020205020404"/>
  </w:font>
  <w:font w:name="Symbol">
    <w:panose1 w:val="05010000000000000000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/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/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62A6141"/>
    <w:lvl w:ilvl="0">
      <w:isLgl w:val="false"/>
      <w:lvlJc w:val="left"/>
      <w:lvlText w:val="·"/>
      <w:numFmt w:val="bullet"/>
      <w:pPr>
        <w:pBdr/>
        <w:spacing/>
        <w:ind w:hanging="360" w:left="709"/>
      </w:pPr>
      <w:rPr>
        <w:rFonts w:hint="default" w:ascii="Symbol" w:hAnsi="Symbol" w:eastAsia="Symbol" w:cs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29"/>
      </w:pPr>
      <w:rPr>
        <w:rFonts w:hint="default"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spacing/>
        <w:ind w:hanging="360" w:left="2149"/>
      </w:pPr>
      <w:rPr>
        <w:rFonts w:hint="default" w:ascii="Wingdings" w:hAnsi="Wingdings" w:eastAsia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hanging="360" w:left="2869"/>
      </w:pPr>
      <w:rPr>
        <w:rFonts w:hint="default" w:ascii="Symbol" w:hAnsi="Symbol" w:eastAsia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589"/>
      </w:pPr>
      <w:rPr>
        <w:rFonts w:hint="default"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spacing/>
        <w:ind w:hanging="360" w:left="4309"/>
      </w:pPr>
      <w:rPr>
        <w:rFonts w:hint="default" w:ascii="Wingdings" w:hAnsi="Wingdings" w:eastAsia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hanging="360" w:left="5029"/>
      </w:pPr>
      <w:rPr>
        <w:rFonts w:hint="default" w:ascii="Symbol" w:hAnsi="Symbol" w:eastAsia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49"/>
      </w:pPr>
      <w:rPr>
        <w:rFonts w:hint="default"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spacing/>
        <w:ind w:hanging="360" w:left="6469"/>
      </w:pPr>
      <w:rPr>
        <w:rFonts w:hint="default" w:ascii="Wingdings" w:hAnsi="Wingdings" w:eastAsia="Wingdings" w:cs="Wingdings"/>
      </w:rPr>
      <w:start w:val="1"/>
      <w:suff w:val="tab"/>
    </w:lvl>
  </w:abstractNum>
  <w:abstractNum w:abstractNumId="1">
    <w:nsid w:val="05DE24F3"/>
    <w:lvl w:ilvl="0">
      <w:isLgl w:val="false"/>
      <w:lvlJc w:val="left"/>
      <w:lvlText w:val="·"/>
      <w:numFmt w:val="bullet"/>
      <w:pPr>
        <w:pBdr/>
        <w:spacing/>
        <w:ind w:hanging="360" w:left="709"/>
      </w:pPr>
      <w:rPr>
        <w:rFonts w:hint="default" w:ascii="Symbol" w:hAnsi="Symbol" w:eastAsia="Symbol" w:cs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29"/>
      </w:pPr>
      <w:rPr>
        <w:rFonts w:hint="default"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spacing/>
        <w:ind w:hanging="360" w:left="2149"/>
      </w:pPr>
      <w:rPr>
        <w:rFonts w:hint="default" w:ascii="Wingdings" w:hAnsi="Wingdings" w:eastAsia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hanging="360" w:left="2869"/>
      </w:pPr>
      <w:rPr>
        <w:rFonts w:hint="default" w:ascii="Symbol" w:hAnsi="Symbol" w:eastAsia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589"/>
      </w:pPr>
      <w:rPr>
        <w:rFonts w:hint="default"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spacing/>
        <w:ind w:hanging="360" w:left="4309"/>
      </w:pPr>
      <w:rPr>
        <w:rFonts w:hint="default" w:ascii="Wingdings" w:hAnsi="Wingdings" w:eastAsia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hanging="360" w:left="5029"/>
      </w:pPr>
      <w:rPr>
        <w:rFonts w:hint="default" w:ascii="Symbol" w:hAnsi="Symbol" w:eastAsia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49"/>
      </w:pPr>
      <w:rPr>
        <w:rFonts w:hint="default"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spacing/>
        <w:ind w:hanging="360" w:left="6469"/>
      </w:pPr>
      <w:rPr>
        <w:rFonts w:hint="default" w:ascii="Wingdings" w:hAnsi="Wingdings" w:eastAsia="Wingdings" w:cs="Wingdings"/>
      </w:rPr>
      <w:start w:val="1"/>
      <w:suff w:val="tab"/>
    </w:lvl>
  </w:abstractNum>
  <w:abstractNum w:abstractNumId="2">
    <w:nsid w:val="0D99876B"/>
    <w:lvl w:ilvl="0">
      <w:isLgl w:val="false"/>
      <w:lvlJc w:val="left"/>
      <w:lvlText w:val="·"/>
      <w:numFmt w:val="bullet"/>
      <w:pPr>
        <w:pBdr/>
        <w:spacing/>
        <w:ind w:hanging="360" w:left="709"/>
      </w:pPr>
      <w:rPr>
        <w:rFonts w:hint="default" w:ascii="Symbol" w:hAnsi="Symbol" w:eastAsia="Symbol" w:cs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29"/>
      </w:pPr>
      <w:rPr>
        <w:rFonts w:hint="default"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spacing/>
        <w:ind w:hanging="360" w:left="2149"/>
      </w:pPr>
      <w:rPr>
        <w:rFonts w:hint="default" w:ascii="Wingdings" w:hAnsi="Wingdings" w:eastAsia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hanging="360" w:left="2869"/>
      </w:pPr>
      <w:rPr>
        <w:rFonts w:hint="default" w:ascii="Symbol" w:hAnsi="Symbol" w:eastAsia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589"/>
      </w:pPr>
      <w:rPr>
        <w:rFonts w:hint="default"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spacing/>
        <w:ind w:hanging="360" w:left="4309"/>
      </w:pPr>
      <w:rPr>
        <w:rFonts w:hint="default" w:ascii="Wingdings" w:hAnsi="Wingdings" w:eastAsia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hanging="360" w:left="5029"/>
      </w:pPr>
      <w:rPr>
        <w:rFonts w:hint="default" w:ascii="Symbol" w:hAnsi="Symbol" w:eastAsia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49"/>
      </w:pPr>
      <w:rPr>
        <w:rFonts w:hint="default"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spacing/>
        <w:ind w:hanging="360" w:left="6469"/>
      </w:pPr>
      <w:rPr>
        <w:rFonts w:hint="default" w:ascii="Wingdings" w:hAnsi="Wingdings" w:eastAsia="Wingdings" w:cs="Wingdings"/>
      </w:rPr>
      <w:start w:val="1"/>
      <w:suff w:val="tab"/>
    </w:lvl>
  </w:abstractNum>
  <w:abstractNum w:abstractNumId="3">
    <w:nsid w:val="4EA62B94"/>
    <w:lvl w:ilvl="0">
      <w:isLgl w:val="false"/>
      <w:lvlJc w:val="left"/>
      <w:lvlText w:val="·"/>
      <w:numFmt w:val="bullet"/>
      <w:pPr>
        <w:pBdr/>
        <w:spacing/>
        <w:ind w:hanging="360" w:left="709"/>
      </w:pPr>
      <w:rPr>
        <w:rFonts w:hint="default" w:ascii="Symbol" w:hAnsi="Symbol" w:eastAsia="Symbol" w:cs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29"/>
      </w:pPr>
      <w:rPr>
        <w:rFonts w:hint="default"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spacing/>
        <w:ind w:hanging="360" w:left="2149"/>
      </w:pPr>
      <w:rPr>
        <w:rFonts w:hint="default" w:ascii="Wingdings" w:hAnsi="Wingdings" w:eastAsia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hanging="360" w:left="2869"/>
      </w:pPr>
      <w:rPr>
        <w:rFonts w:hint="default" w:ascii="Symbol" w:hAnsi="Symbol" w:eastAsia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589"/>
      </w:pPr>
      <w:rPr>
        <w:rFonts w:hint="default"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spacing/>
        <w:ind w:hanging="360" w:left="4309"/>
      </w:pPr>
      <w:rPr>
        <w:rFonts w:hint="default" w:ascii="Wingdings" w:hAnsi="Wingdings" w:eastAsia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hanging="360" w:left="5029"/>
      </w:pPr>
      <w:rPr>
        <w:rFonts w:hint="default" w:ascii="Symbol" w:hAnsi="Symbol" w:eastAsia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49"/>
      </w:pPr>
      <w:rPr>
        <w:rFonts w:hint="default"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spacing/>
        <w:ind w:hanging="360" w:left="6469"/>
      </w:pPr>
      <w:rPr>
        <w:rFonts w:hint="default" w:ascii="Wingdings" w:hAnsi="Wingdings" w:eastAsia="Wingdings" w:cs="Wingdings"/>
      </w:rPr>
      <w:start w:val="1"/>
      <w:suff w:val="tab"/>
    </w:lvl>
  </w:abstractNum>
  <w:abstractNum w:abstractNumId="4">
    <w:nsid w:val="47B011D4"/>
    <w:lvl w:ilvl="0">
      <w:isLgl w:val="false"/>
      <w:lvlJc w:val="left"/>
      <w:lvlText w:val="·"/>
      <w:numFmt w:val="bullet"/>
      <w:pPr>
        <w:pBdr/>
        <w:spacing/>
        <w:ind w:hanging="360" w:left="709"/>
      </w:pPr>
      <w:rPr>
        <w:rFonts w:hint="default" w:ascii="Symbol" w:hAnsi="Symbol" w:eastAsia="Symbol" w:cs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29"/>
      </w:pPr>
      <w:rPr>
        <w:rFonts w:hint="default"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spacing/>
        <w:ind w:hanging="360" w:left="2149"/>
      </w:pPr>
      <w:rPr>
        <w:rFonts w:hint="default" w:ascii="Wingdings" w:hAnsi="Wingdings" w:eastAsia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hanging="360" w:left="2869"/>
      </w:pPr>
      <w:rPr>
        <w:rFonts w:hint="default" w:ascii="Symbol" w:hAnsi="Symbol" w:eastAsia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589"/>
      </w:pPr>
      <w:rPr>
        <w:rFonts w:hint="default"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spacing/>
        <w:ind w:hanging="360" w:left="4309"/>
      </w:pPr>
      <w:rPr>
        <w:rFonts w:hint="default" w:ascii="Wingdings" w:hAnsi="Wingdings" w:eastAsia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hanging="360" w:left="5029"/>
      </w:pPr>
      <w:rPr>
        <w:rFonts w:hint="default" w:ascii="Symbol" w:hAnsi="Symbol" w:eastAsia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49"/>
      </w:pPr>
      <w:rPr>
        <w:rFonts w:hint="default"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spacing/>
        <w:ind w:hanging="360" w:left="6469"/>
      </w:pPr>
      <w:rPr>
        <w:rFonts w:hint="default" w:ascii="Wingdings" w:hAnsi="Wingdings" w:eastAsia="Wingdings" w:cs="Wingdings"/>
      </w:rPr>
      <w:start w:val="1"/>
      <w:suff w:val="tab"/>
    </w:lvl>
  </w:abstractNum>
  <w:abstractNum w:abstractNumId="5">
    <w:nsid w:val="4CB1E648"/>
    <w:lvl w:ilvl="0">
      <w:isLgl w:val="false"/>
      <w:lvlJc w:val="right"/>
      <w:lvlText w:val="%1."/>
      <w:numFmt w:val="decimal"/>
      <w:pPr>
        <w:pBdr/>
        <w:spacing/>
        <w:ind w:hanging="360" w:left="709"/>
      </w:pPr>
      <w:rPr/>
      <w:start w:val="1"/>
      <w:suff w:val="tab"/>
    </w:lvl>
    <w:lvl w:ilvl="1">
      <w:isLgl w:val="false"/>
      <w:lvlJc w:val="right"/>
      <w:lvlText w:val="%2."/>
      <w:numFmt w:val="decimal"/>
      <w:pPr>
        <w:pBdr/>
        <w:spacing/>
        <w:ind w:hanging="360" w:left="1429"/>
      </w:pPr>
      <w:rPr/>
      <w:start w:val="1"/>
      <w:suff w:val="tab"/>
    </w:lvl>
    <w:lvl w:ilvl="2">
      <w:isLgl w:val="false"/>
      <w:lvlJc w:val="right"/>
      <w:lvlText w:val="%3."/>
      <w:numFmt w:val="decimal"/>
      <w:pPr>
        <w:pBdr/>
        <w:spacing/>
        <w:ind w:hanging="360" w:left="2149"/>
      </w:pPr>
      <w:rPr/>
      <w:start w:val="1"/>
      <w:suff w:val="tab"/>
    </w:lvl>
    <w:lvl w:ilvl="3">
      <w:isLgl w:val="false"/>
      <w:lvlJc w:val="right"/>
      <w:lvlText w:val="%4."/>
      <w:numFmt w:val="decimal"/>
      <w:pPr>
        <w:pBdr/>
        <w:spacing/>
        <w:ind w:hanging="360" w:left="2869"/>
      </w:pPr>
      <w:rPr/>
      <w:start w:val="1"/>
      <w:suff w:val="tab"/>
    </w:lvl>
    <w:lvl w:ilvl="4">
      <w:isLgl w:val="false"/>
      <w:lvlJc w:val="right"/>
      <w:lvlText w:val="%5."/>
      <w:numFmt w:val="decimal"/>
      <w:pPr>
        <w:pBdr/>
        <w:spacing/>
        <w:ind w:hanging="360" w:left="3589"/>
      </w:pPr>
      <w:rPr/>
      <w:start w:val="1"/>
      <w:suff w:val="tab"/>
    </w:lvl>
    <w:lvl w:ilvl="5">
      <w:isLgl w:val="false"/>
      <w:lvlJc w:val="right"/>
      <w:lvlText w:val="%6."/>
      <w:numFmt w:val="decimal"/>
      <w:pPr>
        <w:pBdr/>
        <w:spacing/>
        <w:ind w:hanging="360" w:left="4309"/>
      </w:pPr>
      <w:rPr/>
      <w:start w:val="1"/>
      <w:suff w:val="tab"/>
    </w:lvl>
    <w:lvl w:ilvl="6">
      <w:isLgl w:val="false"/>
      <w:lvlJc w:val="right"/>
      <w:lvlText w:val="%7."/>
      <w:numFmt w:val="decimal"/>
      <w:pPr>
        <w:pBdr/>
        <w:spacing/>
        <w:ind w:hanging="360" w:left="5029"/>
      </w:pPr>
      <w:rPr/>
      <w:start w:val="1"/>
      <w:suff w:val="tab"/>
    </w:lvl>
    <w:lvl w:ilvl="7">
      <w:isLgl w:val="false"/>
      <w:lvlJc w:val="right"/>
      <w:lvlText w:val="%8."/>
      <w:numFmt w:val="decimal"/>
      <w:pPr>
        <w:pBdr/>
        <w:spacing/>
        <w:ind w:hanging="360" w:left="5749"/>
      </w:pPr>
      <w:rPr/>
      <w:start w:val="1"/>
      <w:suff w:val="tab"/>
    </w:lvl>
    <w:lvl w:ilvl="8">
      <w:isLgl w:val="false"/>
      <w:lvlJc w:val="right"/>
      <w:lvlText w:val="%9."/>
      <w:numFmt w:val="decimal"/>
      <w:pPr>
        <w:pBdr/>
        <w:spacing/>
        <w:ind w:hanging="360" w:left="6469"/>
      </w:pPr>
      <w:rPr/>
      <w:start w:val="1"/>
      <w:suff w:val="tab"/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pBdr/>
        <w:spacing w:after="200" w:afterAutospacing="0" w:before="0" w:beforeAutospacing="0" w:line="276" w:lineRule="auto"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12">
    <w:name w:val="Table Grid"/>
    <w:basedOn w:val="665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">
    <w:name w:val="Table Grid Light"/>
    <w:basedOn w:val="665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">
    <w:name w:val="Plain Table 1"/>
    <w:basedOn w:val="665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">
    <w:name w:val="Plain Table 2"/>
    <w:basedOn w:val="665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">
    <w:name w:val="Plain Table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7">
    <w:name w:val="Plain Table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8">
    <w:name w:val="Plain Table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9">
    <w:name w:val="Grid Table 1 Light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0">
    <w:name w:val="Grid Table 1 Light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1">
    <w:name w:val="Grid Table 1 Light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2">
    <w:name w:val="Grid Table 1 Light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3">
    <w:name w:val="Grid Table 1 Light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4">
    <w:name w:val="Grid Table 1 Light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5">
    <w:name w:val="Grid Table 1 Light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6">
    <w:name w:val="Grid Table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7">
    <w:name w:val="Grid Table 2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8">
    <w:name w:val="Grid Table 2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9">
    <w:name w:val="Grid Table 2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0">
    <w:name w:val="Grid Table 2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1">
    <w:name w:val="Grid Table 2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2">
    <w:name w:val="Grid Table 2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3">
    <w:name w:val="Grid Table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4">
    <w:name w:val="Grid Table 3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5">
    <w:name w:val="Grid Table 3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6">
    <w:name w:val="Grid Table 3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7">
    <w:name w:val="Grid Table 3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8">
    <w:name w:val="Grid Table 3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9">
    <w:name w:val="Grid Table 3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0">
    <w:name w:val="Grid Table 4"/>
    <w:basedOn w:val="66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1">
    <w:name w:val="Grid Table 4 - Accent 1"/>
    <w:basedOn w:val="66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2">
    <w:name w:val="Grid Table 4 - Accent 2"/>
    <w:basedOn w:val="66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3">
    <w:name w:val="Grid Table 4 - Accent 3"/>
    <w:basedOn w:val="66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4">
    <w:name w:val="Grid Table 4 - Accent 4"/>
    <w:basedOn w:val="66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5">
    <w:name w:val="Grid Table 4 - Accent 5"/>
    <w:basedOn w:val="66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6">
    <w:name w:val="Grid Table 4 - Accent 6"/>
    <w:basedOn w:val="66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7">
    <w:name w:val="Grid Table 5 Dark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8">
    <w:name w:val="Grid Table 5 Dark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eebf6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9">
    <w:name w:val="Grid Table 5 Dark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6d7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0">
    <w:name w:val="Grid Table 5 Dark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1">
    <w:name w:val="Grid Table 5 Dark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ff2cb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2">
    <w:name w:val="Grid Table 5 Dark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3">
    <w:name w:val="Grid Table 5 Dark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4">
    <w:name w:val="Grid Table 6 Colorful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5">
    <w:name w:val="Grid Table 6 Colorful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6">
    <w:name w:val="Grid Table 6 Colorful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7">
    <w:name w:val="Grid Table 6 Colorful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8">
    <w:name w:val="Grid Table 6 Colorful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9">
    <w:name w:val="Grid Table 6 Colorful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0">
    <w:name w:val="Grid Table 6 Colorful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1">
    <w:name w:val="Grid Table 7 Colorful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2">
    <w:name w:val="Grid Table 7 Colorful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3">
    <w:name w:val="Grid Table 7 Colorful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4">
    <w:name w:val="Grid Table 7 Colorful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16161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5">
    <w:name w:val="Grid Table 7 Colorful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6">
    <w:name w:val="Grid Table 7 Colorful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7">
    <w:name w:val="Grid Table 7 Colorful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">
    <w:name w:val="List Table 1 Light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">
    <w:name w:val="List Table 1 Light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">
    <w:name w:val="List Table 1 Light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">
    <w:name w:val="List Table 1 Light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">
    <w:name w:val="List Table 1 Light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">
    <w:name w:val="List Table 1 Light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">
    <w:name w:val="List Table 1 Light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">
    <w:name w:val="List Table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">
    <w:name w:val="List Table 2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">
    <w:name w:val="List Table 2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">
    <w:name w:val="List Table 2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">
    <w:name w:val="List Table 2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">
    <w:name w:val="List Table 2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">
    <w:name w:val="List Table 2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">
    <w:name w:val="List Table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">
    <w:name w:val="List Table 3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">
    <w:name w:val="List Table 3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">
    <w:name w:val="List Table 3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">
    <w:name w:val="List Table 3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">
    <w:name w:val="List Table 3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">
    <w:name w:val="List Table 3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">
    <w:name w:val="List Table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">
    <w:name w:val="List Table 4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">
    <w:name w:val="List Table 4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">
    <w:name w:val="List Table 4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">
    <w:name w:val="List Table 4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">
    <w:name w:val="List Table 4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">
    <w:name w:val="List Table 4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">
    <w:name w:val="List Table 5 Dark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7">
    <w:name w:val="List Table 5 Dark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8">
    <w:name w:val="List Table 5 Dark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285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9">
    <w:name w:val="List Table 5 Dark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0">
    <w:name w:val="List Table 5 Dark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965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1">
    <w:name w:val="List Table 5 Dark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adb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2">
    <w:name w:val="List Table 5 Dark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9d18f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3">
    <w:name w:val="List Table 6 Colorful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">
    <w:name w:val="List Table 6 Colorful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">
    <w:name w:val="List Table 6 Colorful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">
    <w:name w:val="List Table 6 Colorful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">
    <w:name w:val="List Table 6 Colorful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8">
    <w:name w:val="List Table 6 Colorful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9">
    <w:name w:val="List Table 6 Colorful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0">
    <w:name w:val="List Table 7 Colorful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1">
    <w:name w:val="List Table 7 Colorful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2">
    <w:name w:val="List Table 7 Colorful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3">
    <w:name w:val="List Table 7 Colorful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4">
    <w:name w:val="List Table 7 Colorful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5">
    <w:name w:val="List Table 7 Colorful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6">
    <w:name w:val="List Table 7 Colorful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7">
    <w:name w:val="Lined - Accent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8">
    <w:name w:val="Lined - Accent 1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9">
    <w:name w:val="Lined - Accent 2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0">
    <w:name w:val="Lined - Accent 3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1">
    <w:name w:val="Lined - Accent 4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2">
    <w:name w:val="Lined - Accent 5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3">
    <w:name w:val="Lined - Accent 6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4">
    <w:name w:val="Bordered &amp; Lined - Accent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5">
    <w:name w:val="Bordered &amp; Lined - Accent 1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6">
    <w:name w:val="Bordered &amp; Lined - Accent 2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7">
    <w:name w:val="Bordered &amp; Lined - Accent 3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8">
    <w:name w:val="Bordered &amp; Lined - Accent 4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9">
    <w:name w:val="Bordered &amp; Lined - Accent 5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0">
    <w:name w:val="Bordered &amp; Lined - Accent 6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1">
    <w:name w:val="Bordered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2">
    <w:name w:val="Bordered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3">
    <w:name w:val="Bordered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4">
    <w:name w:val="Bordered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5">
    <w:name w:val="Bordered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6">
    <w:name w:val="Bordered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7">
    <w:name w:val="Bordered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139">
    <w:name w:val="Heading 1"/>
    <w:basedOn w:val="664"/>
    <w:next w:val="664"/>
    <w:link w:val="150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paragraph" w:styleId="140">
    <w:name w:val="Heading 2"/>
    <w:basedOn w:val="664"/>
    <w:next w:val="664"/>
    <w:link w:val="151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paragraph" w:styleId="141">
    <w:name w:val="Heading 3"/>
    <w:basedOn w:val="664"/>
    <w:next w:val="664"/>
    <w:link w:val="152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paragraph" w:styleId="142">
    <w:name w:val="Heading 4"/>
    <w:basedOn w:val="664"/>
    <w:next w:val="664"/>
    <w:link w:val="153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143">
    <w:name w:val="Heading 5"/>
    <w:basedOn w:val="664"/>
    <w:next w:val="664"/>
    <w:link w:val="154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144">
    <w:name w:val="Heading 6"/>
    <w:basedOn w:val="664"/>
    <w:next w:val="664"/>
    <w:link w:val="155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145">
    <w:name w:val="Heading 7"/>
    <w:basedOn w:val="664"/>
    <w:next w:val="664"/>
    <w:link w:val="156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146">
    <w:name w:val="Heading 8"/>
    <w:basedOn w:val="664"/>
    <w:next w:val="664"/>
    <w:link w:val="157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147">
    <w:name w:val="Heading 9"/>
    <w:basedOn w:val="664"/>
    <w:next w:val="664"/>
    <w:link w:val="158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148" w:default="1">
    <w:name w:val="Default Paragraph Font"/>
    <w:uiPriority w:val="1"/>
    <w:semiHidden/>
    <w:unhideWhenUsed/>
    <w:pPr>
      <w:pBdr/>
      <w:spacing/>
      <w:ind/>
    </w:pPr>
  </w:style>
  <w:style w:type="character" w:styleId="150">
    <w:name w:val="Heading 1 Char"/>
    <w:basedOn w:val="148"/>
    <w:link w:val="139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151">
    <w:name w:val="Heading 2 Char"/>
    <w:basedOn w:val="148"/>
    <w:link w:val="140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152">
    <w:name w:val="Heading 3 Char"/>
    <w:basedOn w:val="148"/>
    <w:link w:val="141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153">
    <w:name w:val="Heading 4 Char"/>
    <w:basedOn w:val="148"/>
    <w:link w:val="142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154">
    <w:name w:val="Heading 5 Char"/>
    <w:basedOn w:val="148"/>
    <w:link w:val="143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155">
    <w:name w:val="Heading 6 Char"/>
    <w:basedOn w:val="148"/>
    <w:link w:val="144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156">
    <w:name w:val="Heading 7 Char"/>
    <w:basedOn w:val="148"/>
    <w:link w:val="145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157">
    <w:name w:val="Heading 8 Char"/>
    <w:basedOn w:val="148"/>
    <w:link w:val="146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158">
    <w:name w:val="Heading 9 Char"/>
    <w:basedOn w:val="148"/>
    <w:link w:val="147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159">
    <w:name w:val="Title"/>
    <w:basedOn w:val="664"/>
    <w:next w:val="664"/>
    <w:link w:val="160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160">
    <w:name w:val="Title Char"/>
    <w:basedOn w:val="148"/>
    <w:link w:val="159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161">
    <w:name w:val="Subtitle"/>
    <w:basedOn w:val="664"/>
    <w:next w:val="664"/>
    <w:link w:val="162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162">
    <w:name w:val="Subtitle Char"/>
    <w:basedOn w:val="148"/>
    <w:link w:val="161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163">
    <w:name w:val="Quote"/>
    <w:basedOn w:val="664"/>
    <w:next w:val="664"/>
    <w:link w:val="164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164">
    <w:name w:val="Quote Char"/>
    <w:basedOn w:val="148"/>
    <w:link w:val="163"/>
    <w:uiPriority w:val="29"/>
    <w:pPr>
      <w:pBdr/>
      <w:spacing/>
      <w:ind/>
    </w:pPr>
    <w:rPr>
      <w:i/>
      <w:iCs/>
      <w:color w:val="404040" w:themeColor="text1" w:themeTint="BF"/>
    </w:rPr>
  </w:style>
  <w:style w:type="character" w:styleId="166">
    <w:name w:val="Intense Emphasis"/>
    <w:basedOn w:val="148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167">
    <w:name w:val="Intense Quote"/>
    <w:basedOn w:val="664"/>
    <w:next w:val="664"/>
    <w:link w:val="168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168">
    <w:name w:val="Intense Quote Char"/>
    <w:basedOn w:val="148"/>
    <w:link w:val="167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169">
    <w:name w:val="Intense Reference"/>
    <w:basedOn w:val="148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character" w:styleId="171">
    <w:name w:val="Subtle Emphasis"/>
    <w:basedOn w:val="148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172">
    <w:name w:val="Emphasis"/>
    <w:basedOn w:val="148"/>
    <w:uiPriority w:val="20"/>
    <w:qFormat/>
    <w:pPr>
      <w:pBdr/>
      <w:spacing/>
      <w:ind/>
    </w:pPr>
    <w:rPr>
      <w:i/>
      <w:iCs/>
    </w:rPr>
  </w:style>
  <w:style w:type="character" w:styleId="173">
    <w:name w:val="Strong"/>
    <w:basedOn w:val="148"/>
    <w:uiPriority w:val="22"/>
    <w:qFormat/>
    <w:pPr>
      <w:pBdr/>
      <w:spacing/>
      <w:ind/>
    </w:pPr>
    <w:rPr>
      <w:b/>
      <w:bCs/>
    </w:rPr>
  </w:style>
  <w:style w:type="character" w:styleId="174">
    <w:name w:val="Subtle Reference"/>
    <w:basedOn w:val="148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175">
    <w:name w:val="Book Title"/>
    <w:basedOn w:val="148"/>
    <w:uiPriority w:val="33"/>
    <w:qFormat/>
    <w:pPr>
      <w:pBdr/>
      <w:spacing/>
      <w:ind/>
    </w:pPr>
    <w:rPr>
      <w:b/>
      <w:bCs/>
      <w:i/>
      <w:iCs/>
      <w:spacing w:val="5"/>
    </w:rPr>
  </w:style>
  <w:style w:type="paragraph" w:styleId="176">
    <w:name w:val="Header"/>
    <w:basedOn w:val="664"/>
    <w:link w:val="177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177">
    <w:name w:val="Header Char"/>
    <w:basedOn w:val="148"/>
    <w:link w:val="176"/>
    <w:uiPriority w:val="99"/>
    <w:pPr>
      <w:pBdr/>
      <w:spacing/>
      <w:ind/>
    </w:pPr>
  </w:style>
  <w:style w:type="paragraph" w:styleId="178">
    <w:name w:val="Footer"/>
    <w:basedOn w:val="664"/>
    <w:link w:val="179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179">
    <w:name w:val="Footer Char"/>
    <w:basedOn w:val="148"/>
    <w:link w:val="178"/>
    <w:uiPriority w:val="99"/>
    <w:pPr>
      <w:pBdr/>
      <w:spacing/>
      <w:ind/>
    </w:pPr>
  </w:style>
  <w:style w:type="paragraph" w:styleId="180">
    <w:name w:val="Caption"/>
    <w:basedOn w:val="664"/>
    <w:next w:val="664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paragraph" w:styleId="181">
    <w:name w:val="footnote text"/>
    <w:basedOn w:val="664"/>
    <w:link w:val="182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2">
    <w:name w:val="Footnote Text Char"/>
    <w:basedOn w:val="148"/>
    <w:link w:val="181"/>
    <w:uiPriority w:val="99"/>
    <w:semiHidden/>
    <w:pPr>
      <w:pBdr/>
      <w:spacing/>
      <w:ind/>
    </w:pPr>
    <w:rPr>
      <w:sz w:val="20"/>
      <w:szCs w:val="20"/>
    </w:rPr>
  </w:style>
  <w:style w:type="character" w:styleId="183">
    <w:name w:val="footnote reference"/>
    <w:basedOn w:val="148"/>
    <w:uiPriority w:val="99"/>
    <w:semiHidden/>
    <w:unhideWhenUsed/>
    <w:pPr>
      <w:pBdr/>
      <w:spacing/>
      <w:ind/>
    </w:pPr>
    <w:rPr>
      <w:vertAlign w:val="superscript"/>
    </w:rPr>
  </w:style>
  <w:style w:type="paragraph" w:styleId="184">
    <w:name w:val="endnote text"/>
    <w:basedOn w:val="664"/>
    <w:link w:val="185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5">
    <w:name w:val="Endnote Text Char"/>
    <w:basedOn w:val="148"/>
    <w:link w:val="184"/>
    <w:uiPriority w:val="99"/>
    <w:semiHidden/>
    <w:pPr>
      <w:pBdr/>
      <w:spacing/>
      <w:ind/>
    </w:pPr>
    <w:rPr>
      <w:sz w:val="20"/>
      <w:szCs w:val="20"/>
    </w:rPr>
  </w:style>
  <w:style w:type="character" w:styleId="186">
    <w:name w:val="endnote reference"/>
    <w:basedOn w:val="148"/>
    <w:uiPriority w:val="99"/>
    <w:semiHidden/>
    <w:unhideWhenUsed/>
    <w:pPr>
      <w:pBdr/>
      <w:spacing/>
      <w:ind/>
    </w:pPr>
    <w:rPr>
      <w:vertAlign w:val="superscript"/>
    </w:rPr>
  </w:style>
  <w:style w:type="character" w:styleId="187">
    <w:name w:val="Hyperlink"/>
    <w:basedOn w:val="148"/>
    <w:uiPriority w:val="99"/>
    <w:unhideWhenUsed/>
    <w:pPr>
      <w:pBdr/>
      <w:spacing/>
      <w:ind/>
    </w:pPr>
    <w:rPr>
      <w:color w:val="0563c1" w:themeColor="hyperlink"/>
      <w:u w:val="single"/>
    </w:rPr>
  </w:style>
  <w:style w:type="character" w:styleId="188">
    <w:name w:val="FollowedHyperlink"/>
    <w:basedOn w:val="148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189">
    <w:name w:val="toc 1"/>
    <w:basedOn w:val="664"/>
    <w:next w:val="664"/>
    <w:uiPriority w:val="39"/>
    <w:unhideWhenUsed/>
    <w:pPr>
      <w:pBdr/>
      <w:spacing w:after="100"/>
      <w:ind/>
    </w:pPr>
  </w:style>
  <w:style w:type="paragraph" w:styleId="190">
    <w:name w:val="toc 2"/>
    <w:basedOn w:val="664"/>
    <w:next w:val="664"/>
    <w:uiPriority w:val="39"/>
    <w:unhideWhenUsed/>
    <w:pPr>
      <w:pBdr/>
      <w:spacing w:after="100"/>
      <w:ind w:left="220"/>
    </w:pPr>
  </w:style>
  <w:style w:type="paragraph" w:styleId="191">
    <w:name w:val="toc 3"/>
    <w:basedOn w:val="664"/>
    <w:next w:val="664"/>
    <w:uiPriority w:val="39"/>
    <w:unhideWhenUsed/>
    <w:pPr>
      <w:pBdr/>
      <w:spacing w:after="100"/>
      <w:ind w:left="440"/>
    </w:pPr>
  </w:style>
  <w:style w:type="paragraph" w:styleId="192">
    <w:name w:val="toc 4"/>
    <w:basedOn w:val="664"/>
    <w:next w:val="664"/>
    <w:uiPriority w:val="39"/>
    <w:unhideWhenUsed/>
    <w:pPr>
      <w:pBdr/>
      <w:spacing w:after="100"/>
      <w:ind w:left="660"/>
    </w:pPr>
  </w:style>
  <w:style w:type="paragraph" w:styleId="193">
    <w:name w:val="toc 5"/>
    <w:basedOn w:val="664"/>
    <w:next w:val="664"/>
    <w:uiPriority w:val="39"/>
    <w:unhideWhenUsed/>
    <w:pPr>
      <w:pBdr/>
      <w:spacing w:after="100"/>
      <w:ind w:left="880"/>
    </w:pPr>
  </w:style>
  <w:style w:type="paragraph" w:styleId="194">
    <w:name w:val="toc 6"/>
    <w:basedOn w:val="664"/>
    <w:next w:val="664"/>
    <w:uiPriority w:val="39"/>
    <w:unhideWhenUsed/>
    <w:pPr>
      <w:pBdr/>
      <w:spacing w:after="100"/>
      <w:ind w:left="1100"/>
    </w:pPr>
  </w:style>
  <w:style w:type="paragraph" w:styleId="195">
    <w:name w:val="toc 7"/>
    <w:basedOn w:val="664"/>
    <w:next w:val="664"/>
    <w:uiPriority w:val="39"/>
    <w:unhideWhenUsed/>
    <w:pPr>
      <w:pBdr/>
      <w:spacing w:after="100"/>
      <w:ind w:left="1320"/>
    </w:pPr>
  </w:style>
  <w:style w:type="paragraph" w:styleId="196">
    <w:name w:val="toc 8"/>
    <w:basedOn w:val="664"/>
    <w:next w:val="664"/>
    <w:uiPriority w:val="39"/>
    <w:unhideWhenUsed/>
    <w:pPr>
      <w:pBdr/>
      <w:spacing w:after="100"/>
      <w:ind w:left="1540"/>
    </w:pPr>
  </w:style>
  <w:style w:type="paragraph" w:styleId="197">
    <w:name w:val="toc 9"/>
    <w:basedOn w:val="664"/>
    <w:next w:val="664"/>
    <w:uiPriority w:val="39"/>
    <w:unhideWhenUsed/>
    <w:pPr>
      <w:pBdr/>
      <w:spacing w:after="100"/>
      <w:ind w:left="1760"/>
    </w:pPr>
  </w:style>
  <w:style w:type="character" w:styleId="198">
    <w:name w:val="Placeholder Text"/>
    <w:basedOn w:val="148"/>
    <w:uiPriority w:val="99"/>
    <w:semiHidden/>
    <w:pPr>
      <w:pBdr/>
      <w:spacing/>
      <w:ind/>
    </w:pPr>
    <w:rPr>
      <w:color w:val="666666"/>
    </w:rPr>
  </w:style>
  <w:style w:type="paragraph" w:styleId="208">
    <w:name w:val="TOC Heading"/>
    <w:uiPriority w:val="39"/>
    <w:unhideWhenUsed/>
    <w:pPr>
      <w:pBdr/>
      <w:spacing/>
      <w:ind/>
    </w:pPr>
  </w:style>
  <w:style w:type="paragraph" w:styleId="209">
    <w:name w:val="table of figures"/>
    <w:basedOn w:val="664"/>
    <w:next w:val="664"/>
    <w:uiPriority w:val="99"/>
    <w:unhideWhenUsed/>
    <w:pPr>
      <w:pBdr/>
      <w:spacing w:after="0" w:afterAutospacing="0"/>
      <w:ind/>
    </w:pPr>
  </w:style>
  <w:style w:type="paragraph" w:styleId="664" w:default="1">
    <w:name w:val="Normal"/>
    <w:qFormat/>
    <w:pPr>
      <w:pBdr/>
      <w:spacing/>
      <w:ind/>
    </w:pPr>
  </w:style>
  <w:style w:type="table" w:styleId="665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666" w:default="1">
    <w:name w:val="No List"/>
    <w:uiPriority w:val="99"/>
    <w:semiHidden/>
    <w:unhideWhenUsed/>
    <w:pPr>
      <w:pBdr/>
      <w:spacing/>
      <w:ind/>
    </w:pPr>
  </w:style>
  <w:style w:type="paragraph" w:styleId="667">
    <w:name w:val="No Spacing"/>
    <w:basedOn w:val="664"/>
    <w:uiPriority w:val="1"/>
    <w:qFormat/>
    <w:pPr>
      <w:pBdr/>
      <w:spacing w:after="0" w:line="240" w:lineRule="auto"/>
      <w:ind/>
    </w:pPr>
  </w:style>
  <w:style w:type="paragraph" w:styleId="668">
    <w:name w:val="List Paragraph"/>
    <w:basedOn w:val="664"/>
    <w:uiPriority w:val="34"/>
    <w:qFormat/>
    <w:pPr>
      <w:pBdr/>
      <w:spacing/>
      <w:ind w:left="720"/>
      <w:contextualSpacing w:val="true"/>
    </w:p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ONLYOFFICE/9.2.1.43</Application>
  <DocSecurity>0</DocSecurity>
  <ScaleCrop>0</ScaleCrop>
  <HeadingPairs>
    <vt:vector size="0" baseType="variant"/>
  </HeadingPairs>
  <TitlesOfParts>
    <vt:vector size="0" baseType="lpstr"/>
  </TitlesOfParts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revision>1</cp:revision>
  <dcterms:modified xsi:type="dcterms:W3CDTF">2026-08-23T23:41:06Z</dcterms:modified>
</cp:coreProperties>
</file>