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C9FCC22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80" w:before="360" w:line="420" w:lineRule="atLeast"/>
        <w:ind w:right="0" w:firstLine="0" w:left="0"/>
        <w:jc w:val="center"/>
        <w:rPr>
          <w:rFonts w:ascii="Liberation Serif" w:hAnsi="Liberation Serif" w:eastAsia="Liberation Serif" w:cs="Liberation Serif"/>
          <w:b/>
          <w:bCs/>
          <w:color w:val="000000"/>
          <w:spacing w:val="3"/>
          <w:sz w:val="30"/>
          <w:szCs w:val="30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30"/>
        </w:rPr>
        <w:t xml:space="preserve">меры поддержки семей погибших (умерших) военнослужащих (с учётом индексации на 2026 год)</w:t>
      </w:r>
      <w:r>
        <w:rPr>
          <w:rFonts w:ascii="Liberation Serif" w:hAnsi="Liberation Serif" w:cs="Liberation Serif"/>
        </w:rPr>
      </w:r>
    </w:p>
    <w:p w14:paraId="3A562457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80" w:before="360" w:line="420" w:lineRule="atLeast"/>
        <w:ind w:right="0" w:firstLine="0"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30"/>
        </w:rPr>
      </w:r>
      <w:r>
        <w:rPr>
          <w:rFonts w:ascii="Liberation Serif" w:hAnsi="Liberation Serif" w:eastAsia="Liberation Serif" w:cs="Liberation Serif"/>
          <w:b/>
          <w:color w:val="000000"/>
          <w:spacing w:val="3"/>
          <w:sz w:val="30"/>
        </w:rPr>
        <w:t xml:space="preserve">Федеральные меры поддержки</w:t>
      </w:r>
      <w:r>
        <w:rPr>
          <w:rFonts w:ascii="Liberation Serif" w:hAnsi="Liberation Serif" w:cs="Liberation Serif"/>
        </w:rPr>
      </w:r>
      <w:r/>
    </w:p>
    <w:tbl>
      <w:tblPr>
        <w:tblStyle w:val="12"/>
        <w:tblInd w:w="0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647"/>
        <w:gridCol w:w="2063"/>
        <w:gridCol w:w="1967"/>
        <w:gridCol w:w="1679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1529FA17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pacing w:val="3"/>
                <w:sz w:val="21"/>
              </w:rPr>
              <w:t xml:space="preserve">Мера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3B19E3C3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pacing w:val="3"/>
                <w:sz w:val="21"/>
              </w:rPr>
              <w:t xml:space="preserve">Размер / условия (2026)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56B7F1C0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pacing w:val="3"/>
                <w:sz w:val="21"/>
              </w:rPr>
              <w:t xml:space="preserve">Куда обращаться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15D61561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pacing w:val="3"/>
                <w:sz w:val="21"/>
              </w:rPr>
              <w:t xml:space="preserve">Нормативная база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220E04B8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Единовременное пособие по гибели военнослужащего (по ФЗ № 306‑ФЗ)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1EDF36E8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~5 365 718 руб. (индексация ~4 % к базовой сумме 2024 г.)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52A08990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Воинская часть (инициирование), далее профильные органы выплат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28C5606B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ФЗ от 07.11.2011 № 306‑ФЗ; приказ Минобороны от 06.12.2019 № 727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39295625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Единовременная выплата по Указу № 98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6F0EE953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5 000 000 руб. (не индексируется отдельно)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10544AB6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Через воинскую часть/Минобороны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006A20B9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Указ Президента РФ от 05.03.2022 № 98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7A7B2DE8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Страховая выплата по гибели (СОГАЗ)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6B5773BF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~3 577 145 руб. (ежегодная индексация по коэффициенту Правительства РФ)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0B909E00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Воинская часть направляет документы в АО «СОГАЗ»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35BDB90C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ФЗ от 28.03.1998 № 52‑ФЗ; постановление Правительства РФ от 29.07.1998 № 855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63954DD6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Оплата услуг по погребению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35B4E6B7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По фактическим затратам, подтверждённым документами, но не более ~50 000 руб. (с учётом индексации)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4772AECD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Воинская часть / профильные подразделения Минобороны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013C374E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Постановление Правительства РФ от 06.05.1994 № 460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>
          <w:trHeight w:val="19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6A9A7F80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Компенсация на изготовление и установку надгробия (для контрактников)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57378C5C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До ~43 000 руб. (с учётом индексации)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7F149D44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Воинская часть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38CBCEF0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Постановление Правительства РФ от 06.05.1994 № 460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6F0EBB1B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Выплата на оздоровительный отдых детей (1–11 класс)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745005AB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~40 400 руб. (индексация к сумме  г.)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3657C51D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СФР / органы соцподдержки (уточнять порядок)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682C82A7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Постановление Правительства РФ от 31.12.2004 № 911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07FB2A6C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ЕДВ членам семьи погибшего (в т. ч. родителям, супруге, детям)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2C580637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~2 600–2 700 руб. (точная сумма после индексации с 1 февраля)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3C50EC6A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СФР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34087C3B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ФЗ от 12.01.1995 № 5‑ФЗ, ст. 23.1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4BFD7AB8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Пенсия по потере кормильца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06ACD093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Назначается либо в СФР (страховая пенсия), либо в Минобороны (военная пенсия); размер зависит от стажа/выслуги, районных коэффициентов и состава семьи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09DFACC2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СФР или пенсионный орган Минобороны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759A984D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ФЗ от 28.12.2013 № 400‑ФЗ; Закон РФ от 12.02.1993 № 4468‑I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2CE82CCF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Ежемесячная денежная компенсация (ЕДК) в возмещение вреда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2B825C8B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Назначается в зависимости от состава семьи и категории получателя; оформляется через СФР/Минобороны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2D0ADE83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СФР либо профильные органы Минобороны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2B997614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ФЗ от 07.11.2011 № 306‑ФЗ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0907AA82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Санаторно‑курортное обеспечение (для членов семьи)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46DFC2A5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Путёвки по линии Минобороны (условия и очерёдность — по регламенту ведомства)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4DAEF907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Воинская часть / профильные подразделения Минобороны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632F114E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Приказ Минобороны от 15.03.2011 № 333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5E7BA3E1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Компенсация расходов на ЖКУ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33EDAAE0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60 % от фактических расходов по оплате ЖКУ (в пределах нормативов)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1014266F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Соцзащита / СФР (порядок зависит от региона)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71134ABF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ФЗ от 27.05.1998 № 76‑ФЗ и др.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5880F7EF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Единовременная выплата на ремонт дома (раз в 10 лет)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5C8088B1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По нормативам и подтверждённым расходам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304C29A5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СФР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11B376DA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Постановление Правительства РФ от 27.05.2006 № 313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429F5CD3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Последняя заработная плата (денежное довольствие) военнослужащего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219F7813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В размере начисленного, но не выплаченного довольствия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73865232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Воинская часть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34B33EC1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ФЗ от 07.11.2011 № 306‑ФЗ; приказ Минобороны от 06.12.2019 № 727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19D26577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Выплата пенсионных накоплений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04E414AD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По заявлению правопреемников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45140A56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СФР / НПФ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7732F9E2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Постановление Правительства РФ от 30.07.2014 № 710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2F47CAA6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Поощрение при посмертном награждении гос. наградой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1F5E0571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Пять окладов месячного денежного содержания (оклад по должности + оклад по званию)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0F085852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Воинская часть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0FBA55C9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ФЗ от 07.11.2011 № 306‑ФЗ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0F194437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Возмещение транспортных расходов (проезд)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3516C891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Возмещаются расходы на проезд ж/д, воздушным, водным, автотранспортом (кроме такси)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3ACDE0DB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Воинская часть / Минобороны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0C6A2409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п. 2 ст. 20 ФЗ от 27.05.1998 № 76‑ФЗ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6A594DB7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Бесплатный перевоз до 20 тонн личного имущества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0E584002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В контейнерах, по установленным правилам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30F4616F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Воинская часть / транспортные службы Минобороны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4B9E9562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Постановление Правительства РФ от 20.04.2000 № 354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7DD78782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Квота на поступление детей без вступительных экзаменов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777F1381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В рамках специальной квоты приёма в вузы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20D19F99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Вузы (приёмные комиссии)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54A5D7A7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Указ Президента РФ от 09.05.2022 № 268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3EBAF84F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Накопительно‑ипотечная система (НИС) жилищного обеспечения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3730F3D7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Для членов семьи участника НИС — погашение обязательств, передача прав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6CA884E7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ФГКУ «Росвоенипотека» / Минобороны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42F027FD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ФЗ от 20.08.2004 № 117‑ФЗ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758E00E9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Налоговые льготы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1289E6FF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Освобождение от налога на имущество (1 объект каждого вида, не для бизнеса); льгота по транспортному налогу — по правилам региона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25BAE876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ФНС (заявление либо автоматически)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7A063F6D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НК РФ, ст. 407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7B76CFA9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Бесплатная юридическая и психологическая помощь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0FFE1C3A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Без ограничений по объёму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3006F87A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Фонд «Защитники Отечества» (Сахалинский филиал)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7F7E41AF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Указ Президента РФ от 03.04.2023 № 232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2647" w:type="dxa"/>
            <w:vAlign w:val="center"/>
            <w:textDirection w:val="lrTb"/>
            <w:noWrap w:val="false"/>
          </w:tcPr>
          <w:p w14:paraId="05F480E1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Ежемесячная социальная выплата детям отдельных категорий военнослужащих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063" w:type="dxa"/>
            <w:vAlign w:val="center"/>
            <w:textDirection w:val="lrTb"/>
            <w:noWrap w:val="false"/>
          </w:tcPr>
          <w:p w14:paraId="07E87C84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23 393 руб. (фиксированная сумма по Указу)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967" w:type="dxa"/>
            <w:vAlign w:val="center"/>
            <w:textDirection w:val="lrTb"/>
            <w:noWrap w:val="false"/>
          </w:tcPr>
          <w:p w14:paraId="2485DDD9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СФР / воинская часть (уточнить порядок назначения)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1679" w:type="dxa"/>
            <w:vAlign w:val="center"/>
            <w:textDirection w:val="lrTb"/>
            <w:noWrap w:val="false"/>
          </w:tcPr>
          <w:p w14:paraId="51853686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pacing w:val="3"/>
                <w:sz w:val="21"/>
              </w:rPr>
              <w:t xml:space="preserve">Указ Президента от 26.12.2024 № 1110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</w:tbl>
    <w:p w14:paraId="2C31B1B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 w:firstLine="0" w:left="0"/>
        <w:rPr>
          <w:rFonts w:ascii="Liberation Serif" w:hAnsi="Liberation Serif" w:cs="Liberation Serif"/>
        </w:rPr>
      </w:pPr>
      <w:r>
        <w:br/>
      </w:r>
      <w:r/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Критичные документы (проверять в первую очередь):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55BDD342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свидетельство о смерти военнослужащего;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151C8DD9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извещение о гибели (от воинской части);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3EE23AFC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документы, подтверждающие родство (свидетельство о браке, свидетельства о рождении детей, документы об опеке/попечительстве);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224A0F13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справка ВВК/заключение о причинах смерти (если есть);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36207F55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приказ об исключении из списков личного состава;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07E88327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выписка из личного дела (для подтверждения участия в СВО, выслуги, НИС и т. п.).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701AE48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Типовой пакет (варьируется по мере):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паспорт, СНИЛС, реквизиты счёта, заявление по форме ведомства, документы, подтверждающие статус и родство.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08DBA1F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 w:firstLine="0" w:left="0"/>
        <w:rPr>
          <w:rFonts w:ascii="Liberation Serif" w:hAnsi="Liberation Serif" w:cs="Liberation Serif"/>
          <w:b/>
          <w:bCs/>
          <w:color w:val="000000"/>
          <w:spacing w:val="3"/>
          <w:sz w:val="24"/>
          <w:szCs w:val="24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Важные нюансы:</w:t>
      </w:r>
      <w:r>
        <w:rPr>
          <w:rFonts w:ascii="Liberation Serif" w:hAnsi="Liberation Serif" w:cs="Liberation Serif"/>
          <w:b/>
          <w:bCs/>
          <w:color w:val="000000"/>
          <w:spacing w:val="3"/>
          <w:sz w:val="24"/>
          <w:szCs w:val="24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pacing w:val="3"/>
          <w:sz w:val="24"/>
          <w:szCs w:val="24"/>
          <w:highlight w:val="none"/>
        </w:rPr>
      </w:r>
    </w:p>
    <w:p w14:paraId="42DAFF74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Суммы индексируются по‑разному.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Страховые и пособия по ФЗ № 306‑ФЗ — с 1 января, ЕДВ — с 1 февраля, социальные пенсии — с 1 апреля. Перед консультацией уточняйте актуальные суммы в СФР, соцзащите и на официальных ресурсах.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47CF711B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Разные основания — разные пакеты.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Например, для выплаты по Указу № 98 и страховой СОГАЗ нужны одни и те же первичные документы (извещение о гибели, приказ), но разные заявления и каналы подачи. Для региональных выплат почти всегда требуется отдельное заявление в соцзащиту.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186A1B3A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Фонд «Защитники Отечества»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— оптимальная точка входа для комплексного сопровождения: там помогут собрать документы, направить запросы и избежать дублирования мер.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1A44EE8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12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Если скажете, в каком формате нужна памятка для планерки (например, 1‑страничный чек‑лист «только суммы и куда подать», шаблон карточки учёта в Excel, или памятка‑карточка по одной конкретной мере — например, «пенсия и ЕДК»), подготовлю адаптированную верс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ию.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5CF7A643">
      <w:pPr>
        <w:pBdr/>
        <w:spacing/>
        <w:ind/>
        <w:rPr/>
      </w:pPr>
      <w:r/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3D0E2F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797C9FBC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2026-10-19T06:32:31Z</dcterms:modified>
</cp:coreProperties>
</file>