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405117B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Кому и при каких условиях прекращают кредиты и займы при участии в СВО</w:t>
      </w:r>
      <w:r/>
    </w:p>
    <w:p w14:paraId="39A4565B">
      <w:pPr>
        <w:pStyle w:val="85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1. Полное прекращение обязательств при гибели, смерти или инвалидности I группы</w:t>
      </w:r>
      <w:r/>
    </w:p>
    <w:p w14:paraId="0B5AE9E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Кредитные обязательства участника СВО прекращаются полностью, если наступило одно из обстоятельств:</w:t>
      </w:r>
      <w:r/>
    </w:p>
    <w:p w14:paraId="31CF0F06">
      <w:pPr>
        <w:pStyle w:val="912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гибель или смерть при выполнении задач СВО;</w:t>
      </w:r>
      <w:r/>
    </w:p>
    <w:p w14:paraId="59060B51">
      <w:pPr>
        <w:pStyle w:val="912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смерть позднее — из‑за ранения, травмы, контузии или заболевания, полученных в ходе СВО;</w:t>
      </w:r>
      <w:r/>
    </w:p>
    <w:p w14:paraId="6DBB8BE9">
      <w:pPr>
        <w:pStyle w:val="912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объявление военнослужащего умершим по решению суда;</w:t>
      </w:r>
      <w:r/>
    </w:p>
    <w:p w14:paraId="0F176477">
      <w:pPr>
        <w:pStyle w:val="912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признание инвалидом I группы.</w:t>
      </w:r>
      <w:r/>
    </w:p>
    <w:p w14:paraId="1DCD72F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Причинную связь между ранением/заболеванием и последствием (смерть, инвалидность) устанавливает ВВК либо учреждение МСЭ.</w:t>
      </w:r>
      <w:r/>
    </w:p>
    <w:p w14:paraId="6E1B13F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Что прекращается:</w:t>
      </w:r>
      <w:r/>
    </w:p>
    <w:p w14:paraId="4D66AF7D">
      <w:pPr>
        <w:pStyle w:val="912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собственные кредитные обязательства военнослужащего;</w:t>
      </w:r>
      <w:r/>
    </w:p>
    <w:p w14:paraId="07D074FE">
      <w:pPr>
        <w:pStyle w:val="912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его обязательства по поручительству;</w:t>
      </w:r>
      <w:r/>
    </w:p>
    <w:p w14:paraId="5C3558DC">
      <w:pPr>
        <w:pStyle w:val="912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кредитные обязательства членов семьи (в том числе супруга/супруги).</w:t>
      </w:r>
      <w:r/>
    </w:p>
    <w:p w14:paraId="2FBB01E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Кто ещё может претендовать: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совершеннолетние дети, родители, усыновители — только если они были созаёмщиками вместе с участником СВО.</w:t>
      </w:r>
      <w:r/>
    </w:p>
    <w:p w14:paraId="14DF0AC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Важное условие: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кредиты и займы должны быть заключены до мобилизации, начала участия в СВО либо заключения добровольческого контракта (в зависимости от статуса участника). Предельного размера задолженности по этому основанию нет.</w:t>
      </w:r>
      <w:r/>
    </w:p>
    <w:p w14:paraId="73FF7191">
      <w:pPr>
        <w:pStyle w:val="85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2. Прекращение задолженности при заключении контракта (с лимитом)</w:t>
      </w:r>
      <w:r/>
    </w:p>
    <w:p w14:paraId="71099F2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Отдельное основание действует для мобилизованных, военнослужащих по призыву (кроме курсантов) и граждан, ранее не проходивших военную службу. Распространяется и на супруга/супругу — при одновременном выполнении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всех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условий:</w:t>
      </w:r>
      <w:r/>
    </w:p>
    <w:p w14:paraId="38829A74">
      <w:pPr>
        <w:pStyle w:val="912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контракт заключён не ранее 1 мая 2026 года;</w:t>
      </w:r>
      <w:r/>
    </w:p>
    <w:p w14:paraId="4F7A4D32">
      <w:pPr>
        <w:pStyle w:val="912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срок контракта — не менее года;</w:t>
      </w:r>
      <w:r/>
    </w:p>
    <w:p w14:paraId="7D865FB8">
      <w:pPr>
        <w:pStyle w:val="912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контракт — для выполнения задач СВО;</w:t>
      </w:r>
      <w:r/>
    </w:p>
    <w:p w14:paraId="591D84D7">
      <w:pPr>
        <w:pStyle w:val="912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 1 мая 2026 года по долгу уже вступил в силу судебный акт о взыскании, выдан исполнительный документ, возбуждено исполнительное производство либо документ предъявлен к исполнению.</w:t>
      </w:r>
      <w:r/>
    </w:p>
    <w:p w14:paraId="6F85059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Обязательства прекращаются со дня заключения контракта.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Предельный размер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прекращаемой задолженности — 10 млн рублей совокупно по обязательствам гражданина и его супруга/супруги. Долг сверх лимита не прекращается по этому основанию.</w:t>
      </w:r>
      <w:r/>
    </w:p>
    <w:p w14:paraId="75E93C8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Для контрактов, заключённых ранее, действует прежняя редакция нормы — нужно ориентироваться на дату контракта и актуальную редакцию закона.</w:t>
      </w:r>
      <w:r/>
    </w:p>
    <w:p w14:paraId="2562FF7E">
      <w:pPr>
        <w:pStyle w:val="85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3. Права наследников</w:t>
      </w:r>
      <w:r/>
    </w:p>
    <w:p w14:paraId="09AD34B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Наследники не получают самостоятельного права на прекращение своих личных кредитов только из‑за факта наследования. Но они могут обратиться к кредитору, чтобы прекратить обязательства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умершего участника СВО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если есть предусмотренные законом основания (гибель, смерть вследствие ранения/заболевания, объявление умершим).</w:t>
      </w:r>
      <w:r/>
    </w:p>
    <w:p w14:paraId="2C7B0D0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Для этого наследнику нужно:</w:t>
      </w:r>
      <w:r/>
    </w:p>
    <w:p w14:paraId="7AF8D1BE">
      <w:pPr>
        <w:pStyle w:val="912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подтвердить право на наследство;</w:t>
      </w:r>
      <w:r/>
    </w:p>
    <w:p w14:paraId="200134B6">
      <w:pPr>
        <w:pStyle w:val="912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представить документы, подтверждающие основание прекращения обязательства.</w:t>
      </w:r>
      <w:r/>
    </w:p>
    <w:p w14:paraId="1F84AF7C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Порядок действий для прекращения обязательств</w:t>
      </w:r>
      <w:r/>
    </w:p>
    <w:p w14:paraId="7FB94980"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Определите вид долга: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подходит только задолженность по кредитному договору или договору займа.</w:t>
      </w:r>
      <w:r/>
    </w:p>
    <w:p w14:paraId="14DE3485"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Установите основание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(гибель/смерть/инвалидность I группы либо условия по контракту).</w:t>
      </w:r>
      <w:r/>
    </w:p>
    <w:p w14:paraId="49B0F0E9"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Проверьте даты и условия: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дата заключения контракта, его срок и цель; для «контрактного» основания — также дату судебного/исполнительного документа.</w:t>
      </w:r>
      <w:r/>
    </w:p>
    <w:p w14:paraId="7897824B">
      <w:pPr>
        <w:pStyle w:val="912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Соберите документы:</w:t>
      </w:r>
      <w:r/>
    </w:p>
    <w:p w14:paraId="1E6EDA5E">
      <w:pPr>
        <w:pStyle w:val="912"/>
        <w:numPr>
          <w:ilvl w:val="1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сведения о контракте;</w:t>
      </w:r>
      <w:r/>
    </w:p>
    <w:p w14:paraId="70C6105D">
      <w:pPr>
        <w:pStyle w:val="912"/>
        <w:numPr>
          <w:ilvl w:val="1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судебные и исполнительные документы (если есть);</w:t>
      </w:r>
      <w:r/>
    </w:p>
    <w:p w14:paraId="6E4729BD">
      <w:pPr>
        <w:pStyle w:val="912"/>
        <w:numPr>
          <w:ilvl w:val="1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документы ВВК/МСЭ (при инвалидности или смерти из‑за травмы/заболевания);</w:t>
      </w:r>
      <w:r/>
    </w:p>
    <w:p w14:paraId="7A08B1C9">
      <w:pPr>
        <w:pStyle w:val="912"/>
        <w:numPr>
          <w:ilvl w:val="1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для наследников — документы о праве на наследство.</w:t>
      </w:r>
      <w:r/>
    </w:p>
    <w:p w14:paraId="414402AA"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Направьте заявление и документы кредитору.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есть исполнительное производство — также сообщите об обстоятельствах судебному приставу.</w:t>
      </w:r>
      <w:r/>
    </w:p>
    <w:p w14:paraId="15487183">
      <w:pPr>
        <w:pStyle w:val="912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Проверьте лимит: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при прекращении по «контрактному» основанию учтите предел в 10 млн рублей (совокупно для гражданина и супруга/супруги).</w:t>
      </w:r>
      <w:r/>
    </w:p>
    <w:p w14:paraId="06AD09FD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rPr>
          <w:rFonts w:ascii="Times New Roman" w:hAnsi="Times New Roman" w:eastAsia="Times New Roman" w:cs="Times New Roman"/>
          <w:sz w:val="36"/>
          <w:szCs w:val="36"/>
        </w:rPr>
      </w:r>
    </w:p>
    <w:p w14:paraId="0ABF68E2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highlight w:val="none"/>
        </w:rPr>
      </w:r>
    </w:p>
    <w:p w14:paraId="682545C8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highlight w:val="none"/>
        </w:rPr>
      </w:r>
    </w:p>
    <w:p w14:paraId="63C515EA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Как приостановить взыскание налоговой задолженности с выплат участника СВО</w:t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highlight w:val="none"/>
        </w:rPr>
      </w:r>
    </w:p>
    <w:p w14:paraId="3F38C2B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Выплаты, связанные с участием в СВО, не подлежат взысканию в счёт налоговой задолженности (основание — ст. 7 Федерального закона от 29.12.2022 № 603‑ФЗ). Защита распространяется именно на эти выплаты, а не на все деньги на счёте.</w:t>
      </w:r>
      <w:r/>
    </w:p>
    <w:p w14:paraId="6E2AE065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Куда подавать заявление</w:t>
      </w:r>
      <w:r/>
    </w:p>
    <w:p w14:paraId="5CC0521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зависимости от того, кто осуществляет взыскание, заявление нужно направить:</w:t>
      </w:r>
      <w:r/>
    </w:p>
    <w:p w14:paraId="19926756">
      <w:pPr>
        <w:pStyle w:val="912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налоговый орган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чтобы приостановить исполнение требования о взыскании задолженности.</w:t>
      </w:r>
      <w:r/>
    </w:p>
    <w:p w14:paraId="776F40E1">
      <w:pPr>
        <w:pStyle w:val="912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банк (кредитную организацию)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если списание идёт со счёта по поручению налоговой. Банк обязан приостановить взыскание со дня получения заявления.</w:t>
      </w:r>
      <w:r/>
    </w:p>
    <w:p w14:paraId="2C35248A">
      <w:pPr>
        <w:pStyle w:val="912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Судебному приставу‑исполнителю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если возбуждено исполнительное производство.</w:t>
      </w:r>
      <w:r/>
    </w:p>
    <w:p w14:paraId="05FEE2B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Заявление может подать сам участник СВО либо член семьи (с приложением документов, подтверждающих родство).</w:t>
      </w:r>
      <w:r/>
    </w:p>
    <w:p w14:paraId="010CFE51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Порядок действий</w:t>
      </w:r>
      <w:r/>
    </w:p>
    <w:p w14:paraId="672A2BC7">
      <w:pPr>
        <w:pStyle w:val="912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Определите, кто ведёт взыскание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налоговая напрямую через банк или служба судебных приставов.</w:t>
      </w:r>
      <w:r/>
    </w:p>
    <w:p w14:paraId="2554F875">
      <w:pPr>
        <w:pStyle w:val="912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Подготовьте заявления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соответствующие инстанции (налоговая, банк, пристав) — в каждом укажите, что на счёт поступают выплаты в связи с участием в СВО и на них не может быть обращено взыскание.</w:t>
      </w:r>
      <w:r/>
    </w:p>
    <w:p w14:paraId="2DA3C4E0">
      <w:pPr>
        <w:pStyle w:val="912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Приложите подтверждающие документы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(например, справку из воинской части, выписку по счёту, где видны выплаты, и т. п.) — это ускорит рассмотрение.</w:t>
      </w:r>
      <w:r/>
    </w:p>
    <w:p w14:paraId="0F42F70F">
      <w:pPr>
        <w:pStyle w:val="912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Подайте заявления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(лично, почтой, через электронные сервисы — ЛК ФНС, Госуслуги и др.).</w:t>
      </w:r>
      <w:r/>
    </w:p>
    <w:p w14:paraId="4018D3C5">
      <w:pPr>
        <w:pStyle w:val="912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Сохраните подтверждение подачи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(квитанцию, входящий номер, электронное уведомление).</w:t>
      </w:r>
      <w:r/>
    </w:p>
    <w:p w14:paraId="381510DD">
      <w:pPr>
        <w:pStyle w:val="912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Проверьте, прекращены ли списания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Если нет — подайте повторное обращение с указанием даты и номера предыдущего заявления.</w:t>
      </w:r>
      <w:r/>
    </w:p>
    <w:p w14:paraId="3378F8DD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Важные нюансы</w:t>
      </w:r>
      <w:r/>
    </w:p>
    <w:p w14:paraId="6B36DAC0">
      <w:pPr>
        <w:pStyle w:val="912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Точный объект защиты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не «все деньги на карте», а именно выплаты, обусловленные участием в СВО. Если на тот же счёт поступают иные доходы, они могут быть предметом взыскания.</w:t>
      </w:r>
      <w:r/>
    </w:p>
    <w:p w14:paraId="4BB44FB0">
      <w:pPr>
        <w:pStyle w:val="912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Формулировки в заявлении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критически важны: лучше прямо ссылаться на ст. 7 ФЗ № 603‑ФЗ и указывать назначение поступлений (например: «на счёт поступают ежемесячные выплаты участнику СВО по линии Минобороны»).</w:t>
      </w:r>
      <w:r/>
    </w:p>
    <w:p w14:paraId="1AC0AF53">
      <w:pPr>
        <w:pStyle w:val="912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Координация между инстанциями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нередко налоговая направляет поручение в банк, а параллельно есть исполнительное производство — поэтому может потребоваться одновременное обращение и в банк, и к приставу.</w:t>
      </w:r>
      <w:r/>
    </w:p>
    <w:p w14:paraId="13B46785">
      <w:pPr>
        <w:pStyle w:val="8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Ограничения</w:t>
      </w:r>
      <w:r/>
    </w:p>
    <w:p w14:paraId="3128F2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Приостановление взыскания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применяется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к требованиям:</w:t>
      </w:r>
      <w:r/>
    </w:p>
    <w:p w14:paraId="5D57A6FF">
      <w:pPr>
        <w:pStyle w:val="912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об уплате алиментов;</w:t>
      </w:r>
      <w:r/>
    </w:p>
    <w:p w14:paraId="7D6C9F4A">
      <w:pPr>
        <w:pStyle w:val="912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 возмещении вреда в связи со смертью кормильца</w:t>
      </w:r>
      <w:r>
        <w:rPr>
          <w14:ligatures w14:val="none"/>
        </w:rPr>
      </w:r>
      <w:r>
        <w:rPr>
          <w14:ligatures w14:val="none"/>
        </w:rPr>
      </w:r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48F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35F7812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6EF7744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018BBFA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29903193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5">
    <w:nsid w:val="402BB34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159E445D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7">
    <w:nsid w:val="1E1DBFB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78821D3D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9">
    <w:nsid w:val="7891F64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nsid w:val="054EEBD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3">
    <w:name w:val="Table Grid"/>
    <w:basedOn w:val="9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Table Grid Light"/>
    <w:basedOn w:val="9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1"/>
    <w:basedOn w:val="9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2"/>
    <w:basedOn w:val="9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1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2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3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4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5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6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1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2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3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4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5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6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1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2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3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4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5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6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9">
    <w:name w:val="Heading 1"/>
    <w:basedOn w:val="908"/>
    <w:next w:val="908"/>
    <w:link w:val="85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0">
    <w:name w:val="Heading 2"/>
    <w:basedOn w:val="908"/>
    <w:next w:val="908"/>
    <w:link w:val="86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1">
    <w:name w:val="Heading 3"/>
    <w:basedOn w:val="908"/>
    <w:next w:val="908"/>
    <w:link w:val="86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2">
    <w:name w:val="Heading 4"/>
    <w:basedOn w:val="908"/>
    <w:next w:val="908"/>
    <w:link w:val="86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3">
    <w:name w:val="Heading 5"/>
    <w:basedOn w:val="908"/>
    <w:next w:val="908"/>
    <w:link w:val="86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4">
    <w:name w:val="Heading 6"/>
    <w:basedOn w:val="908"/>
    <w:next w:val="908"/>
    <w:link w:val="86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5">
    <w:name w:val="Heading 7"/>
    <w:basedOn w:val="908"/>
    <w:next w:val="908"/>
    <w:link w:val="86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6">
    <w:name w:val="Heading 8"/>
    <w:basedOn w:val="908"/>
    <w:next w:val="908"/>
    <w:link w:val="86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7">
    <w:name w:val="Heading 9"/>
    <w:basedOn w:val="908"/>
    <w:next w:val="908"/>
    <w:link w:val="86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8" w:default="1">
    <w:name w:val="Default Paragraph Font"/>
    <w:uiPriority w:val="1"/>
    <w:semiHidden/>
    <w:unhideWhenUsed/>
    <w:pPr>
      <w:pBdr/>
      <w:spacing/>
      <w:ind/>
    </w:pPr>
  </w:style>
  <w:style w:type="character" w:styleId="859">
    <w:name w:val="Heading 1 Char"/>
    <w:basedOn w:val="858"/>
    <w:link w:val="8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0">
    <w:name w:val="Heading 2 Char"/>
    <w:basedOn w:val="858"/>
    <w:link w:val="8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1">
    <w:name w:val="Heading 3 Char"/>
    <w:basedOn w:val="858"/>
    <w:link w:val="8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2">
    <w:name w:val="Heading 4 Char"/>
    <w:basedOn w:val="858"/>
    <w:link w:val="85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3">
    <w:name w:val="Heading 5 Char"/>
    <w:basedOn w:val="858"/>
    <w:link w:val="8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4">
    <w:name w:val="Heading 6 Char"/>
    <w:basedOn w:val="858"/>
    <w:link w:val="85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5">
    <w:name w:val="Heading 7 Char"/>
    <w:basedOn w:val="858"/>
    <w:link w:val="85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6">
    <w:name w:val="Heading 8 Char"/>
    <w:basedOn w:val="858"/>
    <w:link w:val="8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7">
    <w:name w:val="Heading 9 Char"/>
    <w:basedOn w:val="858"/>
    <w:link w:val="8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8">
    <w:name w:val="Title"/>
    <w:basedOn w:val="908"/>
    <w:next w:val="908"/>
    <w:link w:val="86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9">
    <w:name w:val="Title Char"/>
    <w:basedOn w:val="858"/>
    <w:link w:val="86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0">
    <w:name w:val="Subtitle"/>
    <w:basedOn w:val="908"/>
    <w:next w:val="908"/>
    <w:link w:val="87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1">
    <w:name w:val="Subtitle Char"/>
    <w:basedOn w:val="858"/>
    <w:link w:val="87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2">
    <w:name w:val="Quote"/>
    <w:basedOn w:val="908"/>
    <w:next w:val="908"/>
    <w:link w:val="87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3">
    <w:name w:val="Quote Char"/>
    <w:basedOn w:val="858"/>
    <w:link w:val="87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4">
    <w:name w:val="Intense Emphasis"/>
    <w:basedOn w:val="85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5">
    <w:name w:val="Intense Quote"/>
    <w:basedOn w:val="908"/>
    <w:next w:val="908"/>
    <w:link w:val="87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6">
    <w:name w:val="Intense Quote Char"/>
    <w:basedOn w:val="858"/>
    <w:link w:val="87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7">
    <w:name w:val="Intense Reference"/>
    <w:basedOn w:val="85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8">
    <w:name w:val="Subtle Emphasis"/>
    <w:basedOn w:val="85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9">
    <w:name w:val="Emphasis"/>
    <w:basedOn w:val="858"/>
    <w:uiPriority w:val="20"/>
    <w:qFormat/>
    <w:pPr>
      <w:pBdr/>
      <w:spacing/>
      <w:ind/>
    </w:pPr>
    <w:rPr>
      <w:i/>
      <w:iCs/>
    </w:rPr>
  </w:style>
  <w:style w:type="character" w:styleId="880">
    <w:name w:val="Strong"/>
    <w:basedOn w:val="858"/>
    <w:uiPriority w:val="22"/>
    <w:qFormat/>
    <w:pPr>
      <w:pBdr/>
      <w:spacing/>
      <w:ind/>
    </w:pPr>
    <w:rPr>
      <w:b/>
      <w:bCs/>
    </w:rPr>
  </w:style>
  <w:style w:type="character" w:styleId="881">
    <w:name w:val="Subtle Reference"/>
    <w:basedOn w:val="85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2">
    <w:name w:val="Book Title"/>
    <w:basedOn w:val="85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3">
    <w:name w:val="Header"/>
    <w:basedOn w:val="908"/>
    <w:link w:val="88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4">
    <w:name w:val="Header Char"/>
    <w:basedOn w:val="858"/>
    <w:link w:val="883"/>
    <w:uiPriority w:val="99"/>
    <w:pPr>
      <w:pBdr/>
      <w:spacing/>
      <w:ind/>
    </w:pPr>
  </w:style>
  <w:style w:type="paragraph" w:styleId="885">
    <w:name w:val="Footer"/>
    <w:basedOn w:val="908"/>
    <w:link w:val="88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6">
    <w:name w:val="Footer Char"/>
    <w:basedOn w:val="858"/>
    <w:link w:val="885"/>
    <w:uiPriority w:val="99"/>
    <w:pPr>
      <w:pBdr/>
      <w:spacing/>
      <w:ind/>
    </w:pPr>
  </w:style>
  <w:style w:type="paragraph" w:styleId="887">
    <w:name w:val="Caption"/>
    <w:basedOn w:val="908"/>
    <w:next w:val="90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8">
    <w:name w:val="footnote text"/>
    <w:basedOn w:val="908"/>
    <w:link w:val="88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9">
    <w:name w:val="Footnote Text Char"/>
    <w:basedOn w:val="858"/>
    <w:link w:val="888"/>
    <w:uiPriority w:val="99"/>
    <w:semiHidden/>
    <w:pPr>
      <w:pBdr/>
      <w:spacing/>
      <w:ind/>
    </w:pPr>
    <w:rPr>
      <w:sz w:val="20"/>
      <w:szCs w:val="20"/>
    </w:rPr>
  </w:style>
  <w:style w:type="character" w:styleId="890">
    <w:name w:val="footnote reference"/>
    <w:basedOn w:val="858"/>
    <w:uiPriority w:val="99"/>
    <w:semiHidden/>
    <w:unhideWhenUsed/>
    <w:pPr>
      <w:pBdr/>
      <w:spacing/>
      <w:ind/>
    </w:pPr>
    <w:rPr>
      <w:vertAlign w:val="superscript"/>
    </w:rPr>
  </w:style>
  <w:style w:type="paragraph" w:styleId="891">
    <w:name w:val="endnote text"/>
    <w:basedOn w:val="908"/>
    <w:link w:val="89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2">
    <w:name w:val="Endnote Text Char"/>
    <w:basedOn w:val="858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93">
    <w:name w:val="endnote reference"/>
    <w:basedOn w:val="858"/>
    <w:uiPriority w:val="99"/>
    <w:semiHidden/>
    <w:unhideWhenUsed/>
    <w:pPr>
      <w:pBdr/>
      <w:spacing/>
      <w:ind/>
    </w:pPr>
    <w:rPr>
      <w:vertAlign w:val="superscript"/>
    </w:rPr>
  </w:style>
  <w:style w:type="character" w:styleId="894">
    <w:name w:val="Hyperlink"/>
    <w:basedOn w:val="85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5">
    <w:name w:val="FollowedHyperlink"/>
    <w:basedOn w:val="85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6">
    <w:name w:val="toc 1"/>
    <w:basedOn w:val="908"/>
    <w:next w:val="908"/>
    <w:uiPriority w:val="39"/>
    <w:unhideWhenUsed/>
    <w:pPr>
      <w:pBdr/>
      <w:spacing w:after="100"/>
      <w:ind/>
    </w:pPr>
  </w:style>
  <w:style w:type="paragraph" w:styleId="897">
    <w:name w:val="toc 2"/>
    <w:basedOn w:val="908"/>
    <w:next w:val="908"/>
    <w:uiPriority w:val="39"/>
    <w:unhideWhenUsed/>
    <w:pPr>
      <w:pBdr/>
      <w:spacing w:after="100"/>
      <w:ind w:left="220"/>
    </w:pPr>
  </w:style>
  <w:style w:type="paragraph" w:styleId="898">
    <w:name w:val="toc 3"/>
    <w:basedOn w:val="908"/>
    <w:next w:val="908"/>
    <w:uiPriority w:val="39"/>
    <w:unhideWhenUsed/>
    <w:pPr>
      <w:pBdr/>
      <w:spacing w:after="100"/>
      <w:ind w:left="440"/>
    </w:pPr>
  </w:style>
  <w:style w:type="paragraph" w:styleId="899">
    <w:name w:val="toc 4"/>
    <w:basedOn w:val="908"/>
    <w:next w:val="908"/>
    <w:uiPriority w:val="39"/>
    <w:unhideWhenUsed/>
    <w:pPr>
      <w:pBdr/>
      <w:spacing w:after="100"/>
      <w:ind w:left="660"/>
    </w:pPr>
  </w:style>
  <w:style w:type="paragraph" w:styleId="900">
    <w:name w:val="toc 5"/>
    <w:basedOn w:val="908"/>
    <w:next w:val="908"/>
    <w:uiPriority w:val="39"/>
    <w:unhideWhenUsed/>
    <w:pPr>
      <w:pBdr/>
      <w:spacing w:after="100"/>
      <w:ind w:left="880"/>
    </w:pPr>
  </w:style>
  <w:style w:type="paragraph" w:styleId="901">
    <w:name w:val="toc 6"/>
    <w:basedOn w:val="908"/>
    <w:next w:val="908"/>
    <w:uiPriority w:val="39"/>
    <w:unhideWhenUsed/>
    <w:pPr>
      <w:pBdr/>
      <w:spacing w:after="100"/>
      <w:ind w:left="1100"/>
    </w:pPr>
  </w:style>
  <w:style w:type="paragraph" w:styleId="902">
    <w:name w:val="toc 7"/>
    <w:basedOn w:val="908"/>
    <w:next w:val="908"/>
    <w:uiPriority w:val="39"/>
    <w:unhideWhenUsed/>
    <w:pPr>
      <w:pBdr/>
      <w:spacing w:after="100"/>
      <w:ind w:left="1320"/>
    </w:pPr>
  </w:style>
  <w:style w:type="paragraph" w:styleId="903">
    <w:name w:val="toc 8"/>
    <w:basedOn w:val="908"/>
    <w:next w:val="908"/>
    <w:uiPriority w:val="39"/>
    <w:unhideWhenUsed/>
    <w:pPr>
      <w:pBdr/>
      <w:spacing w:after="100"/>
      <w:ind w:left="1540"/>
    </w:pPr>
  </w:style>
  <w:style w:type="paragraph" w:styleId="904">
    <w:name w:val="toc 9"/>
    <w:basedOn w:val="908"/>
    <w:next w:val="908"/>
    <w:uiPriority w:val="39"/>
    <w:unhideWhenUsed/>
    <w:pPr>
      <w:pBdr/>
      <w:spacing w:after="100"/>
      <w:ind w:left="1760"/>
    </w:pPr>
  </w:style>
  <w:style w:type="character" w:styleId="905">
    <w:name w:val="Placeholder Text"/>
    <w:basedOn w:val="858"/>
    <w:uiPriority w:val="99"/>
    <w:semiHidden/>
    <w:pPr>
      <w:pBdr/>
      <w:spacing/>
      <w:ind/>
    </w:pPr>
    <w:rPr>
      <w:color w:val="666666"/>
    </w:rPr>
  </w:style>
  <w:style w:type="paragraph" w:styleId="906">
    <w:name w:val="TOC Heading"/>
    <w:uiPriority w:val="39"/>
    <w:unhideWhenUsed/>
    <w:pPr>
      <w:pBdr/>
      <w:spacing/>
      <w:ind/>
    </w:pPr>
  </w:style>
  <w:style w:type="paragraph" w:styleId="907">
    <w:name w:val="table of figures"/>
    <w:basedOn w:val="908"/>
    <w:next w:val="908"/>
    <w:uiPriority w:val="99"/>
    <w:unhideWhenUsed/>
    <w:pPr>
      <w:pBdr/>
      <w:spacing w:after="0" w:afterAutospacing="0"/>
      <w:ind/>
    </w:pPr>
  </w:style>
  <w:style w:type="paragraph" w:styleId="908" w:default="1">
    <w:name w:val="Normal"/>
    <w:qFormat/>
    <w:pPr>
      <w:pBdr/>
      <w:spacing/>
      <w:ind/>
    </w:pPr>
  </w:style>
  <w:style w:type="table" w:styleId="90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0" w:default="1">
    <w:name w:val="No List"/>
    <w:uiPriority w:val="99"/>
    <w:semiHidden/>
    <w:unhideWhenUsed/>
    <w:pPr>
      <w:pBdr/>
      <w:spacing/>
      <w:ind/>
    </w:pPr>
  </w:style>
  <w:style w:type="paragraph" w:styleId="911">
    <w:name w:val="No Spacing"/>
    <w:basedOn w:val="908"/>
    <w:uiPriority w:val="1"/>
    <w:qFormat/>
    <w:pPr>
      <w:pBdr/>
      <w:spacing w:after="0" w:line="240" w:lineRule="auto"/>
      <w:ind/>
    </w:pPr>
  </w:style>
  <w:style w:type="paragraph" w:styleId="912">
    <w:name w:val="List Paragraph"/>
    <w:basedOn w:val="908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2026-07-27T02:13:46Z</dcterms:modified>
</cp:coreProperties>
</file>