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settings.xml" ContentType="application/vnd.openxmlformats-officedocument.wordprocessingml.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jc w:val="center"/>
      </w:pPr>
      <w:r>
        <w:rPr>
          <w:b/>
          <w:sz w:val="32"/>
        </w:rPr>
        <w:t xml:space="preserve">ПАМЯТКА</w:t>
      </w:r>
    </w:p>
    <w:p>
      <w:pPr>
        <w:jc w:val="center"/>
      </w:pPr>
      <w:r>
        <w:rPr>
          <w:b/>
        </w:rPr>
        <w:t xml:space="preserve">Как получить медицинские документы из гражданской больницы,</w:t>
        <w:br/>
        <w:t xml:space="preserve">если их не выдают (для военнослужащего и уволенного со службы)</w:t>
      </w:r>
    </w:p>
    <w:p/>
    <w:p>
      <w:pPr>
        <w:pStyle w:val="Heading1"/>
      </w:pPr>
      <w:r>
        <w:t xml:space="preserve">1. На чём основано право</w:t>
      </w:r>
    </w:p>
    <w:p>
      <w:r>
        <w:rPr>
          <w:b w:val="0"/>
        </w:rPr>
        <w:t xml:space="preserve">Право пациента на получение медицинских документов, их копий и выписок из них закреплено статьёй 22 Федерального закона от 21.11.2011 № 323-ФЗ «Об основах охраны здоровья граждан в РФ». Порядок и сроки выдачи установлены приказом Минздрава России от 31.07.2020 № 789н.</w:t>
      </w:r>
    </w:p>
    <w:p>
      <w:pPr>
        <w:pStyle w:val="ListBullet"/>
      </w:pPr>
      <w:r>
        <w:t xml:space="preserve">Выдают копии и выписки: оригиналы медкарт (амбулаторной и стационарной) на руки не отдают — вместо них выдают копию или выписку.</w:t>
      </w:r>
    </w:p>
    <w:p>
      <w:pPr>
        <w:pStyle w:val="ListBullet"/>
      </w:pPr>
      <w:r>
        <w:t xml:space="preserve">Копии и выписки предоставляются в количестве одного экземпляра.</w:t>
      </w:r>
    </w:p>
    <w:p>
      <w:pPr>
        <w:pStyle w:val="ListBullet"/>
      </w:pPr>
      <w:r>
        <w:t xml:space="preserve">Срок выдачи — не более 30 календарных дней с даты регистрации запроса (по правилам рассмотрения обращений граждан).</w:t>
      </w:r>
    </w:p>
    <w:p>
      <w:pPr>
        <w:pStyle w:val="ListBullet"/>
      </w:pPr>
      <w:r>
        <w:t xml:space="preserve">Если пациент ещё находится на лечении в стационаре (или дневном стационаре) — выписка и копии предоставляются в суточный срок с момента обращения.</w:t>
      </w:r>
    </w:p>
    <w:p>
      <w:pPr>
        <w:pStyle w:val="ListBullet"/>
      </w:pPr>
      <w:r>
        <w:t xml:space="preserve">Способы подачи запроса: лично, почтой (заказным письмом), электронно (через Госуслуги — подписанный простой или усиленной квалифицированной электронной подписью).</w:t>
      </w:r>
    </w:p>
    <w:p>
      <w:pPr>
        <w:pStyle w:val="ListBullet"/>
      </w:pPr>
      <w:r>
        <w:t xml:space="preserve">Медицинские документы выдаются бесплатно.</w:t>
      </w:r>
    </w:p>
    <w:p>
      <w:r>
        <w:rPr>
          <w:b/>
        </w:rPr>
        <w:t xml:space="preserve">Важно: копии, выписки и справки, подтверждающие факт и время обращения за медицинской помощью и содержание медицинских документов, выдаются пациенту независимо от того, застрахован он или нет и какую форму помощи получал (ОМС, платно, госпитализация).</w:t>
      </w:r>
    </w:p>
    <w:p>
      <w:pPr>
        <w:pStyle w:val="Heading1"/>
      </w:pPr>
      <w:r>
        <w:t xml:space="preserve">2. Что запрашивать</w:t>
      </w:r>
    </w:p>
    <w:p>
      <w:pPr>
        <w:pStyle w:val="ListBullet"/>
      </w:pPr>
      <w:r>
        <w:t xml:space="preserve">Выписку из истории болезни (медицинской карты стационарного больного) за период госпитализации.</w:t>
      </w:r>
    </w:p>
    <w:p>
      <w:pPr>
        <w:pStyle w:val="ListBullet"/>
      </w:pPr>
      <w:r>
        <w:t xml:space="preserve">Выписной эпикриз (если выписывали).</w:t>
      </w:r>
    </w:p>
    <w:p>
      <w:pPr>
        <w:pStyle w:val="ListBullet"/>
      </w:pPr>
      <w:r>
        <w:t xml:space="preserve">Копии результатов обследований, анализов, заключений врачей.</w:t>
      </w:r>
    </w:p>
    <w:p>
      <w:pPr>
        <w:pStyle w:val="ListBullet"/>
      </w:pPr>
      <w:r>
        <w:t xml:space="preserve">Справку о факте и времени обращения за медицинской помощью (с датами поступления и выписки).</w:t>
      </w:r>
    </w:p>
    <w:p>
      <w:pPr>
        <w:pStyle w:val="ListBullet"/>
      </w:pPr>
      <w:r>
        <w:t xml:space="preserve">При необходимости — выписку из амбулаторной карты за нужный период.</w:t>
      </w:r>
    </w:p>
    <w:p>
      <w:r>
        <w:rPr>
          <w:b w:val="0"/>
        </w:rPr>
        <w:t xml:space="preserve">В запросе обязательно укажите: ФИО, дату рождения, данные паспорта, точный период лечения, перечень запрашиваемых документов, способ получения (на руки / почтой / на Госуслуги) и контактный адрес.</w:t>
      </w:r>
    </w:p>
    <w:p>
      <w:pPr>
        <w:pStyle w:val="Heading1"/>
      </w:pPr>
      <w:r>
        <w:t xml:space="preserve">3. Не путать: меддокументы и справка о ранении</w:t>
      </w:r>
    </w:p>
    <w:p>
      <w:r>
        <w:rPr>
          <w:b w:val="0"/>
        </w:rPr>
        <w:t xml:space="preserve">Медицинские документы о лечении и справка о ранении для военной выплаты — разные документы. Право получить записи и выписки из гражданской больницы не означает, что она обязана оформить военную справку о ранении: этот вопрос решается отдельно по соответствующему порядку (всё, что касается военной справки, — через военных врачей и ВВК, см. памятку про ГЦ ВВЭ).</w:t>
      </w:r>
    </w:p>
    <w:p>
      <w:r>
        <w:rPr>
          <w:b w:val="0"/>
        </w:rPr>
        <w:t xml:space="preserve">Поэтому если документы нужны для выплаты (страховой в СОГАЗ и т. п.), у больницы запрашивайте записи и выписки, подтверждающие лечение. Отказ выдать медзаписи и отказ оформить справку о ранении — два разных отказа, каждый оценивается отдельно.</w:t>
      </w:r>
    </w:p>
    <w:p>
      <w:pPr>
        <w:pStyle w:val="Heading1"/>
      </w:pPr>
      <w:r>
        <w:t xml:space="preserve">4. Пошаговый порядок действий</w:t>
      </w:r>
    </w:p>
    <w:p>
      <w:pPr>
        <w:pStyle w:val="ListNumber"/>
      </w:pPr>
      <w:r>
        <w:t xml:space="preserve">Устное обращение в регистратуру/отделение — иногда документы выдают сразу. Если нет — переходите к письменному запросу.</w:t>
      </w:r>
    </w:p>
    <w:p>
      <w:pPr>
        <w:pStyle w:val="ListNumber"/>
      </w:pPr>
      <w:r>
        <w:t xml:space="preserve">Письменный запрос на имя главного врача больницы: ФИО, паспорт, контакты, перечень документов, период лечения, способ получения. Проверьте, чтобы в запросе были все обязательные сведения (иначе больница вправе вернуть его на уточнение — на это отводится 14 календарных дней).</w:t>
      </w:r>
    </w:p>
    <w:p>
      <w:pPr>
        <w:pStyle w:val="ListNumber"/>
      </w:pPr>
      <w:r>
        <w:t xml:space="preserve">Подача с фиксацией: лично — два экземпляра, на вашем ставят отметку о принятии (дата, входящий номер); почтой — заказное письмо с уведомлением о вручении; электронно — через Госуслуги или на официальный адрес больницы, сохраните подтверждение отправки.</w:t>
      </w:r>
    </w:p>
    <w:p>
      <w:pPr>
        <w:pStyle w:val="ListNumber"/>
      </w:pPr>
      <w:r>
        <w:t xml:space="preserve">Контроль срока: 30 календарных дней с даты регистрации запроса; если вы на лечении в стационаре — сутки.</w:t>
      </w:r>
    </w:p>
    <w:p>
      <w:pPr>
        <w:pStyle w:val="ListNumber"/>
      </w:pPr>
      <w:r>
        <w:t xml:space="preserve">При отказе — запросите письменный мотивированный отказ. Причина отказа важна для следующих шагов.</w:t>
      </w:r>
    </w:p>
    <w:p>
      <w:pPr>
        <w:pStyle w:val="ListNumber"/>
      </w:pPr>
      <w:r>
        <w:t xml:space="preserve">Эскалация при отказе или молчании: руководитель медорганизации (главный врач) → региональный орган здравоохранения (министерство/департамент здравоохранения) → территориальный Росздравнадзор. К жалобе прикладывайте копию запроса, подтверждение его получения и письменный отказ (если есть).</w:t>
      </w:r>
    </w:p>
    <w:p>
      <w:pPr>
        <w:pStyle w:val="ListNumber"/>
      </w:pPr>
      <w:r>
        <w:t xml:space="preserve">Суд — если вопрос не решён. Запрос, подтверждение подачи, отказ и ответы на жалобы показывают, что вы пытались получить документы до суда. Но обязательный досудебный порядок существует только там, где он прямо установлен законом, — уточняйте вид требований и подсудность под конкретный отказ.</w:t>
      </w:r>
    </w:p>
    <w:p>
      <w:r>
        <w:rPr>
          <w:b w:val="0"/>
        </w:rPr>
        <w:t xml:space="preserve">Справочно: отказ в выдаче военной справки о ранении признавался незаконным в деле, рассмотренном Крымским гарнизонным военным судом, — суд обязал повторно рассмотреть вопрос с оценкой доказательств получения травмы. Но это решение касается конкретного спора и не гарантирует выдачу справки в другой ситуации.</w:t>
      </w:r>
    </w:p>
    <w:p>
      <w:pPr>
        <w:pStyle w:val="Heading1"/>
      </w:pPr>
      <w:r>
        <w:t xml:space="preserve">5. Типичные ошибки</w:t>
      </w:r>
    </w:p>
    <w:p>
      <w:pPr>
        <w:pStyle w:val="ListBullet"/>
      </w:pPr>
      <w:r>
        <w:t xml:space="preserve">Требовать оригинал медицинской карты — его не выдадут: положены копия или выписка.</w:t>
      </w:r>
    </w:p>
    <w:p>
      <w:pPr>
        <w:pStyle w:val="ListBullet"/>
      </w:pPr>
      <w:r>
        <w:t xml:space="preserve">Подать запрос без паспорта и точного периода лечения — больница вернёт его на уточнение, потеряв две недели.</w:t>
      </w:r>
    </w:p>
    <w:p>
      <w:pPr>
        <w:pStyle w:val="ListBullet"/>
      </w:pPr>
      <w:r>
        <w:t xml:space="preserve">Устно просить и на этом остановиться — устная просьба ничего не фиксирует; нужна письменная фиксация.</w:t>
      </w:r>
    </w:p>
    <w:p>
      <w:pPr>
        <w:pStyle w:val="ListBullet"/>
      </w:pPr>
      <w:r>
        <w:t xml:space="preserve">Считать, что больница обязана оформить справку о ранении по военной форме, — это не её компетенция.</w:t>
      </w:r>
    </w:p>
    <w:p>
      <w:pPr>
        <w:pStyle w:val="ListBullet"/>
      </w:pPr>
      <w:r>
        <w:t xml:space="preserve">Выбрасывать чеки и уведомления о вручении — без них не доказать ни сроки, ни сам факт обращения.</w:t>
      </w:r>
    </w:p>
    <w:p>
      <w:pPr>
        <w:pStyle w:val="Heading1"/>
      </w:pPr>
      <w:r>
        <w:t xml:space="preserve">6. Правовая база — кратко</w:t>
      </w:r>
    </w:p>
    <w:p>
      <w:pPr>
        <w:pStyle w:val="ListBullet"/>
      </w:pPr>
      <w:r>
        <w:t xml:space="preserve">Ст. 22 ФЗ № 323-ФЗ — право пациента на медицинские документы, их копии и выписки.</w:t>
      </w:r>
    </w:p>
    <w:p>
      <w:pPr>
        <w:pStyle w:val="ListBullet"/>
      </w:pPr>
      <w:r>
        <w:t xml:space="preserve">Приказ Минздрава России от 31.07.2020 № 789н — порядок, состав запроса, сроки (30 дней; сутки для стационарных), один экземпляр, заказное письмо при почтовой доставке.</w:t>
      </w:r>
    </w:p>
    <w:p>
      <w:pPr>
        <w:pStyle w:val="ListBullet"/>
      </w:pPr>
      <w:r>
        <w:t xml:space="preserve">ФЗ № 59-ФЗ «О порядке рассмотрения обращений граждан» — 30-дневный срок, на который опирается п. 8 приказа № 789н.</w:t>
      </w:r>
    </w:p>
    <w:p/>
    <w:p>
      <w:r>
        <w:rPr>
          <w:i/>
          <w:sz w:val="20"/>
        </w:rPr>
        <w:t xml:space="preserve">Памятка носит справочный характер. Состав документов и порядок их выдачи уточняйте в конкретной медицинской организации, региональном органе здравоохранения или Росздравнадзоре — требования могут меняться.</w:t>
      </w:r>
    </w:p>
    <w:sectPr>
      <w:pgSz w:h="15840" w:w="122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">
    <w:panose1 w:val="05040102010807070707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singleLevel"/>
    <w:nsid w:val="FFFFFF7C"/>
    <w:lvl w:ilvl="0">
      <w:lvlJc w:val="left"/>
      <w:lvlText w:val="%1."/>
      <w:numFmt w:val="decimal"/>
      <w:pPr>
        <w:tabs>
          <w:tab w:val="num" w:pos="1800"/>
        </w:tabs>
        <w:ind w:hanging="360" w:left="1800"/>
      </w:pPr>
      <w:start w:val="1"/>
    </w:lvl>
  </w:abstractNum>
  <w:abstractNum w:abstractNumId="1">
    <w:multiLevelType w:val="singleLevel"/>
    <w:nsid w:val="FFFFFF7D"/>
    <w:lvl w:ilvl="0">
      <w:lvlJc w:val="left"/>
      <w:lvlText w:val="%1."/>
      <w:numFmt w:val="decimal"/>
      <w:pPr>
        <w:tabs>
          <w:tab w:val="num" w:pos="1440"/>
        </w:tabs>
        <w:ind w:hanging="360" w:left="1440"/>
      </w:pPr>
      <w:start w:val="1"/>
    </w:lvl>
  </w:abstractNum>
  <w:abstractNum w:abstractNumId="2">
    <w:multiLevelType w:val="singleLevel"/>
    <w:nsid w:val="FFFFFF7E"/>
    <w:lvl w:ilvl="0">
      <w:lvlJc w:val="left"/>
      <w:lvlText w:val="%1."/>
      <w:numFmt w:val="decimal"/>
      <w:pPr>
        <w:tabs>
          <w:tab w:val="num" w:pos="1080"/>
        </w:tabs>
        <w:ind w:hanging="360" w:left="1080"/>
      </w:pPr>
      <w:pStyle w:val="ListNumber3"/>
      <w:start w:val="1"/>
    </w:lvl>
  </w:abstractNum>
  <w:abstractNum w:abstractNumId="3">
    <w:multiLevelType w:val="singleLevel"/>
    <w:nsid w:val="FFFFFF7F"/>
    <w:lvl w:ilvl="0">
      <w:lvlJc w:val="left"/>
      <w:lvlText w:val="%1."/>
      <w:numFmt w:val="decimal"/>
      <w:pPr>
        <w:tabs>
          <w:tab w:val="num" w:pos="720"/>
        </w:tabs>
        <w:ind w:hanging="360" w:left="720"/>
      </w:pPr>
      <w:pStyle w:val="ListNumber2"/>
      <w:start w:val="1"/>
    </w:lvl>
  </w:abstractNum>
  <w:abstractNum w:abstractNumId="4">
    <w:multiLevelType w:val="singleLevel"/>
    <w:nsid w:val="FFFFFF81"/>
    <w:lvl w:ilvl="0">
      <w:lvlJc w:val="left"/>
      <w:lvlText w:val=""/>
      <w:numFmt w:val="bullet"/>
      <w:pPr>
        <w:tabs>
          <w:tab w:val="num" w:pos="1440"/>
        </w:tabs>
        <w:ind w:hanging="360" w:left="1440"/>
      </w:pPr>
      <w:rPr>
        <w:rFonts w:hint="default" w:ascii="Symbol" w:hAnsi="Symbol"/>
      </w:rPr>
      <w:start w:val="1"/>
    </w:lvl>
  </w:abstractNum>
  <w:abstractNum w:abstractNumId="5">
    <w:multiLevelType w:val="singleLevel"/>
    <w:nsid w:val="FFFFFF82"/>
    <w:lvl w:ilvl="0">
      <w:lvlJc w:val="left"/>
      <w:lvlText w:val=""/>
      <w:numFmt w:val="bullet"/>
      <w:pPr>
        <w:tabs>
          <w:tab w:val="num" w:pos="1080"/>
        </w:tabs>
        <w:ind w:hanging="360" w:left="1080"/>
      </w:pPr>
      <w:pStyle w:val="ListBullet3"/>
      <w:rPr>
        <w:rFonts w:hint="default" w:ascii="Symbol" w:hAnsi="Symbol"/>
      </w:rPr>
      <w:start w:val="1"/>
    </w:lvl>
  </w:abstractNum>
  <w:abstractNum w:abstractNumId="6">
    <w:multiLevelType w:val="singleLevel"/>
    <w:nsid w:val="FFFFFF83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pStyle w:val="ListBullet2"/>
      <w:rPr>
        <w:rFonts w:hint="default" w:ascii="Symbol" w:hAnsi="Symbol"/>
      </w:rPr>
      <w:start w:val="1"/>
    </w:lvl>
  </w:abstractNum>
  <w:abstractNum w:abstractNumId="7">
    <w:multiLevelType w:val="singleLevel"/>
    <w:nsid w:val="FFFFFF88"/>
    <w:lvl w:ilvl="0">
      <w:lvlJc w:val="left"/>
      <w:lvlText w:val="%1."/>
      <w:numFmt w:val="decimal"/>
      <w:pPr>
        <w:tabs>
          <w:tab w:val="num" w:pos="360"/>
        </w:tabs>
        <w:ind w:hanging="360" w:left="360"/>
      </w:pPr>
      <w:pStyle w:val="ListNumber"/>
      <w:start w:val="1"/>
    </w:lvl>
  </w:abstractNum>
  <w:abstractNum w:abstractNumId="8">
    <w:multiLevelType w:val="singleLevel"/>
    <w:nsid w:val="FFFFFF89"/>
    <w:lvl w:ilvl="0">
      <w:lvlJc w:val="left"/>
      <w:lvlText w:val=""/>
      <w:numFmt w:val="bullet"/>
      <w:pPr>
        <w:tabs>
          <w:tab w:val="num" w:pos="360"/>
        </w:tabs>
        <w:ind w:hanging="360" w:left="360"/>
      </w:pPr>
      <w:pStyle w:val="ListBullet"/>
      <w:rPr>
        <w:rFonts w:hint="default" w:ascii="Symbol" w:hAnsi="Symbol"/>
      </w:rPr>
      <w:start w:val="1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 w:val="true"/>
      <w:spacing w:after="0"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 w:val="true"/>
      <w:spacing w:after="0"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 w:val="true"/>
      <w:spacing w:after="0"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 w:val="true"/>
      <w:keepLines w:val="true"/>
      <w:spacing w:after="0"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 w:val="true"/>
      <w:keepLines w:val="true"/>
      <w:spacing w:after="0" w:before="20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 w:val="true"/>
      <w:keepLines w:val="true"/>
      <w:spacing w:after="0" w:before="20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 w:val="true"/>
      <w:keepLines w:val="true"/>
      <w:spacing w:after="0"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 w:val="true"/>
      <w:keepLines w:val="true"/>
      <w:spacing w:after="0"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 w:val="true"/>
      <w:keepLines w:val="true"/>
      <w:spacing w:after="0"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color="4f81bd" w:themeColor="accent1" w:sz="8" w:space="4"/>
      </w:pBdr>
      <w:spacing w:after="300" w:line="240" w:lineRule="auto"/>
      <w:contextualSpacing w:val="true"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 w:val="true"/>
    </w:pPr>
  </w:style>
  <w:style w:type="paragraph" w:styleId="BodyText">
    <w:name w:val="Body Text"/>
    <w:basedOn w:val="Normal"/>
    <w:link w:val="BodyTextChar"/>
    <w:uiPriority w:val="99"/>
    <w:unhideWhenUsed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unhideWhenUsed/>
    <w:pPr>
      <w:ind w:hanging="360" w:left="360"/>
      <w:contextualSpacing w:val="true"/>
    </w:pPr>
  </w:style>
  <w:style w:type="paragraph" w:styleId="List2">
    <w:name w:val="List 2"/>
    <w:basedOn w:val="Normal"/>
    <w:uiPriority w:val="99"/>
    <w:unhideWhenUsed/>
    <w:pPr>
      <w:ind w:hanging="360" w:left="720"/>
      <w:contextualSpacing w:val="true"/>
    </w:pPr>
  </w:style>
  <w:style w:type="paragraph" w:styleId="List3">
    <w:name w:val="List 3"/>
    <w:basedOn w:val="Normal"/>
    <w:uiPriority w:val="99"/>
    <w:unhideWhenUsed/>
    <w:pPr>
      <w:ind w:hanging="360" w:left="1080"/>
      <w:contextualSpacing w:val="true"/>
    </w:pPr>
  </w:style>
  <w:style w:type="paragraph" w:styleId="ListBullet">
    <w:name w:val="List Bullet"/>
    <w:basedOn w:val="Normal"/>
    <w:uiPriority w:val="99"/>
    <w:unhideWhenUsed/>
    <w:pPr>
      <w:numPr>
        <w:numId w:val="1"/>
      </w:numPr>
      <w:contextualSpacing w:val="true"/>
    </w:pPr>
  </w:style>
  <w:style w:type="paragraph" w:styleId="ListBullet2">
    <w:name w:val="List Bullet 2"/>
    <w:basedOn w:val="Normal"/>
    <w:uiPriority w:val="99"/>
    <w:unhideWhenUsed/>
    <w:pPr>
      <w:numPr>
        <w:numId w:val="2"/>
      </w:numPr>
      <w:contextualSpacing w:val="true"/>
    </w:pPr>
  </w:style>
  <w:style w:type="paragraph" w:styleId="ListBullet3">
    <w:name w:val="List Bullet 3"/>
    <w:basedOn w:val="Normal"/>
    <w:uiPriority w:val="99"/>
    <w:unhideWhenUsed/>
    <w:pPr>
      <w:numPr>
        <w:numId w:val="3"/>
      </w:numPr>
      <w:contextualSpacing w:val="true"/>
    </w:pPr>
  </w:style>
  <w:style w:type="paragraph" w:styleId="ListNumber">
    <w:name w:val="List Number"/>
    <w:basedOn w:val="Normal"/>
    <w:uiPriority w:val="99"/>
    <w:unhideWhenUsed/>
    <w:pPr>
      <w:numPr>
        <w:numId w:val="5"/>
      </w:numPr>
      <w:contextualSpacing w:val="true"/>
    </w:pPr>
  </w:style>
  <w:style w:type="paragraph" w:styleId="ListNumber2">
    <w:name w:val="List Number 2"/>
    <w:basedOn w:val="Normal"/>
    <w:uiPriority w:val="99"/>
    <w:unhideWhenUsed/>
    <w:pPr>
      <w:numPr>
        <w:numId w:val="6"/>
      </w:numPr>
      <w:contextualSpacing w:val="true"/>
    </w:pPr>
  </w:style>
  <w:style w:type="paragraph" w:styleId="ListNumber3">
    <w:name w:val="List Number 3"/>
    <w:basedOn w:val="Normal"/>
    <w:uiPriority w:val="99"/>
    <w:unhideWhenUsed/>
    <w:pPr>
      <w:numPr>
        <w:numId w:val="7"/>
      </w:numPr>
      <w:contextualSpacing w:val="true"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 w:val="true"/>
    </w:pPr>
  </w:style>
  <w:style w:type="paragraph" w:styleId="ListContinue2">
    <w:name w:val="List Continue 2"/>
    <w:basedOn w:val="Normal"/>
    <w:uiPriority w:val="99"/>
    <w:unhideWhenUsed/>
    <w:pPr>
      <w:spacing w:after="120"/>
      <w:ind w:left="720"/>
      <w:contextualSpacing w:val="true"/>
    </w:pPr>
  </w:style>
  <w:style w:type="paragraph" w:styleId="ListContinue3">
    <w:name w:val="List Continue 3"/>
    <w:basedOn w:val="Normal"/>
    <w:uiPriority w:val="99"/>
    <w:unhideWhenUsed/>
    <w:pPr>
      <w:spacing w:after="120"/>
      <w:ind w:left="1080"/>
      <w:contextualSpacing w:val="true"/>
    </w:pPr>
  </w:style>
  <w:style w:type="paragraph" w:styleId="MacroText">
    <w:name w:val="macro"/>
    <w:link w:val="MacroText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b/>
        <w:bCs/>
      </w:rPr>
      <w:pPr>
        <w:spacing w:after="0" w:before="0" w:line="240" w:lineRule="auto"/>
      </w:p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b/>
        <w:bCs/>
      </w:rPr>
      <w:pPr>
        <w:spacing w:after="0" w:before="0" w:line="240" w:lineRule="auto"/>
      </w:p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b/>
        <w:bCs/>
      </w:rPr>
      <w:pPr>
        <w:spacing w:after="0" w:before="0" w:line="240" w:lineRule="auto"/>
      </w:p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b/>
        <w:bCs/>
      </w:rPr>
      <w:pPr>
        <w:spacing w:after="0" w:before="0" w:line="240" w:lineRule="auto"/>
      </w:p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b/>
        <w:bCs/>
      </w:rPr>
      <w:pPr>
        <w:spacing w:after="0" w:before="0" w:line="240" w:lineRule="auto"/>
      </w:p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b/>
        <w:bCs/>
      </w:rPr>
      <w:pPr>
        <w:spacing w:after="0" w:before="0" w:line="240" w:lineRule="auto"/>
      </w:p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b/>
        <w:bCs/>
      </w:rPr>
      <w:pPr>
        <w:spacing w:after="0" w:before="0" w:line="240" w:lineRule="auto"/>
      </w:p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shd w:val="clear" w:color="auto" w:fill="000000" w:themeFill="text1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shd w:val="clear" w:color="auto" w:fill="4f81bd" w:themeFill="accent1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shd w:val="clear" w:color="auto" w:fill="c0504d" w:themeFill="accent2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shd w:val="clear" w:color="auto" w:fill="9bbb59" w:themeFill="accent3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shd w:val="clear" w:color="auto" w:fill="8064a2" w:themeFill="accent4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shd w:val="clear" w:color="auto" w:fill="4bacc6" w:themeFill="accent5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shd w:val="clear" w:color="auto" w:fill="f79646" w:themeFill="accent6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after="0" w:before="0" w:line="240" w:lineRule="auto"/>
      </w:p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0c0c0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2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1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pPr>
        <w:spacing w:after="0" w:before="0" w:line="240" w:lineRule="auto"/>
      </w:p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4d0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uto" w:sz="18" w:space="0"/>
        <w:bottom w:val="single" w:color="auto" w:sz="1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color w:val="auto"/>
      </w:rPr>
      <w:pPr>
        <w:spacing w:after="0" w:before="0" w:line="240" w:lineRule="auto"/>
      </w:p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cPr>
        <w:shd w:val="clear" w:color="auto" w:fill="d8d8d8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uto" w:sz="18" w:space="0"/>
        <w:bottom w:val="single" w:color="auto" w:sz="1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rPr>
        <w:color w:val="auto"/>
      </w:rPr>
      <w:pPr>
        <w:spacing w:after="0" w:before="0" w:line="240" w:lineRule="auto"/>
      </w:p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cPr>
        <w:shd w:val="clear" w:color="auto" w:fill="d8d8d8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uto" w:sz="18" w:space="0"/>
        <w:bottom w:val="single" w:color="auto" w:sz="1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rPr>
        <w:color w:val="auto"/>
      </w:rPr>
      <w:pPr>
        <w:spacing w:after="0" w:before="0" w:line="240" w:lineRule="auto"/>
      </w:p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cPr>
        <w:shd w:val="clear" w:color="auto" w:fill="d8d8d8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uto" w:sz="18" w:space="0"/>
        <w:bottom w:val="single" w:color="auto" w:sz="1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rPr>
        <w:color w:val="auto"/>
      </w:rPr>
      <w:pPr>
        <w:spacing w:after="0" w:before="0" w:line="240" w:lineRule="auto"/>
      </w:p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cPr>
        <w:shd w:val="clear" w:color="auto" w:fill="d8d8d8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uto" w:sz="18" w:space="0"/>
        <w:bottom w:val="single" w:color="auto" w:sz="1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rPr>
        <w:color w:val="auto"/>
      </w:rPr>
      <w:pPr>
        <w:spacing w:after="0" w:before="0" w:line="240" w:lineRule="auto"/>
      </w:p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cPr>
        <w:shd w:val="clear" w:color="auto" w:fill="d8d8d8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uto" w:sz="18" w:space="0"/>
        <w:bottom w:val="single" w:color="auto" w:sz="1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rPr>
        <w:color w:val="auto"/>
      </w:rPr>
      <w:pPr>
        <w:spacing w:after="0" w:before="0" w:line="240" w:lineRule="auto"/>
      </w:p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cPr>
        <w:shd w:val="clear" w:color="auto" w:fill="d8d8d8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uto" w:sz="18" w:space="0"/>
        <w:bottom w:val="single" w:color="auto" w:sz="18" w:space="0"/>
      </w:tblBorders>
    </w:tblPr>
    <w:tblStylePr w:type="firstRow">
      <w:rPr>
        <w:b/>
        <w:bCs/>
        <w:color w:val="ffffff" w:themeColor="background1"/>
      </w:rPr>
      <w:pPr>
        <w:spacing w:after="0" w:before="0" w:line="240" w:lineRule="auto"/>
      </w:p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rPr>
        <w:color w:val="auto"/>
      </w:rPr>
      <w:pPr>
        <w:spacing w:after="0" w:before="0" w:line="240" w:lineRule="auto"/>
      </w:p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cPr>
        <w:shd w:val="clear" w:color="auto" w:fill="d8d8d8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c0c0c0" w:themeFill="text1" w:themeFillTint="3F"/>
      </w:tcPr>
    </w:tblStylePr>
    <w:tblStylePr w:type="band1Horz"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2" w:themeFill="accent2" w:themeFillTint="3F"/>
      </w:tcPr>
    </w:tblStylePr>
    <w:tblStylePr w:type="band1Horz"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1" w:themeFill="accent5" w:themeFillTint="3F"/>
      </w:tcPr>
    </w:tblStylePr>
    <w:tblStylePr w:type="band1Horz"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4d0" w:themeFill="accent6" w:themeFillTint="3F"/>
      </w:tcPr>
    </w:tblStylePr>
    <w:tblStylePr w:type="band1Horz"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808080" w:themeFill="text1" w:themeFillTint="7F"/>
      </w:tcPr>
    </w:tblStylePr>
    <w:tblStylePr w:type="band1Horz"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bfde" w:themeFill="accent1" w:themeFillTint="7F"/>
      </w:tcPr>
    </w:tblStylePr>
    <w:tblStylePr w:type="band1Horz"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808080" w:themeFill="text1" w:themeFillTint="7F"/>
      </w:tcPr>
    </w:tblStylePr>
    <w:tblStylePr w:type="band1Horz"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bfde" w:themeFill="accent1" w:themeFillTint="7F"/>
      </w:tcPr>
    </w:tblStylePr>
    <w:tblStylePr w:type="band1Horz"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cPr>
        <w:shd w:val="clear" w:color="auto" w:fill="000000" w:themeFill="text1" w:themeFillShade="BF"/>
      </w:tcPr>
    </w:tblStylePr>
    <w:tblStylePr w:type="band1Vert">
      <w:tcPr>
        <w:shd w:val="clear" w:color="auto" w:fill="808080" w:themeFill="text1" w:themeFillTint="7F"/>
      </w:tcPr>
    </w:tblStylePr>
    <w:tblStylePr w:type="band1Horz"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cPr>
        <w:shd w:val="clear" w:color="auto" w:fill="365f91" w:themeFill="accent1" w:themeFillShade="BF"/>
      </w:tcPr>
    </w:tblStylePr>
    <w:tblStylePr w:type="band1Vert">
      <w:tcPr>
        <w:shd w:val="clear" w:color="auto" w:fill="a7bfde" w:themeFill="accent1" w:themeFillTint="7F"/>
      </w:tcPr>
    </w:tblStylePr>
    <w:tblStylePr w:type="band1Horz"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cPr>
        <w:shd w:val="clear" w:color="auto" w:fill="9436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cPr>
        <w:shd w:val="clear" w:color="auto" w:fill="e36c0a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customXml" Target="../customXml/item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CharactersWithSpaces>0</CharactersWithSpaces>
  <Application>ONLYOFFICE/9.2.1.43</Application>
  <DocSecurity>0</DocSecurity>
  <Lines>0</Lines>
  <Paragraphs>0</Paragraphs>
  <ScaleCrop>0</ScaleCrop>
  <HeadingPairs>
    <vt:vector size="0" baseType="variant"/>
  </HeadingPairs>
  <TitlesOfParts>
    <vt:vector size="0" baseType="lpstr"/>
  </TitlesOfParts>
  <Manager/>
  <Company/>
  <LinksUpToDate>0</LinksUpToDate>
  <SharedDoc>0</SharedDoc>
  <HyperlinkBase/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