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FFFFFF"/>
          </w:tcPr>
          <w:p>
            <w:pPr>
              <w:spacing w:after="0"/>
            </w:pPr>
            <w:r>
              <w:rPr>
                <w:rFonts w:ascii="Times New Roman" w:hAnsi="Times New Roman"/>
                <w:sz w:val="8"/>
              </w:rPr>
              <w:t xml:space="preserve"> </w:t>
            </w:r>
          </w:p>
        </w:tc>
      </w:tr>
      <w:tr>
        <w:tc>
          <w:tcPr>
            <w:tcW w:type="dxa" w:w="9973"/>
            <w:shd w:val="clear" w:fill="2E5AA8"/>
          </w:tcPr>
          <w:p>
            <w:pPr>
              <w:spacing w:after="0"/>
            </w:pPr>
            <w:r>
              <w:rPr>
                <w:rFonts w:ascii="Times New Roman" w:hAnsi="Times New Roman"/>
                <w:sz w:val="8"/>
              </w:rPr>
              <w:t xml:space="preserve"> </w:t>
            </w:r>
          </w:p>
        </w:tc>
      </w:tr>
      <w:tr>
        <w:tc>
          <w:tcPr>
            <w:tcW w:type="dxa" w:w="9973"/>
            <w:shd w:val="clear" w:fill="D52B1E"/>
          </w:tcPr>
          <w:p>
            <w:pPr>
              <w:spacing w:after="0"/>
            </w:pPr>
            <w:r>
              <w:rPr>
                <w:rFonts w:ascii="Times New Roman" w:hAnsi="Times New Roman"/>
                <w:sz w:val="8"/>
              </w:rPr>
              <w:t xml:space="preserve"> </w:t>
            </w:r>
          </w:p>
        </w:tc>
      </w:tr>
    </w:tbl>
    <w:p/>
    <w:p>
      <w:pPr>
        <w:jc w:val="center"/>
      </w:pPr>
      <w:r>
        <w:rPr>
          <w:rFonts w:ascii="Times New Roman" w:hAnsi="Times New Roman"/>
          <w:b/>
          <w:i w:val="0"/>
          <w:color w:val="1F3864"/>
          <w:sz w:val="48"/>
        </w:rPr>
        <w:t>ПАМЯТКА</w:t>
      </w:r>
    </w:p>
    <w:p>
      <w:pPr>
        <w:jc w:val="center"/>
      </w:pPr>
      <w:r>
        <w:rPr>
          <w:rFonts w:ascii="Times New Roman" w:hAnsi="Times New Roman"/>
          <w:b/>
          <w:i w:val="0"/>
          <w:color w:val="1F3864"/>
          <w:sz w:val="30"/>
        </w:rPr>
        <w:t>Льготная ипотека для военнослужащих и членов их семей</w:t>
      </w:r>
    </w:p>
    <w:p>
      <w:pPr>
        <w:jc w:val="center"/>
      </w:pPr>
      <w:r>
        <w:rPr>
          <w:rFonts w:ascii="Times New Roman" w:hAnsi="Times New Roman"/>
          <w:b w:val="0"/>
          <w:i/>
          <w:sz w:val="24"/>
        </w:rPr>
        <w:t>Семейная, сельская, дальневосточная, арктическая, военная и социальная ипотека. Корпоративные программы.</w:t>
      </w:r>
    </w:p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1. Семейная ипотека</w:t>
      </w:r>
    </w:p>
    <w:p>
      <w:r>
        <w:rPr>
          <w:rFonts w:ascii="Times New Roman" w:hAnsi="Times New Roman"/>
          <w:b/>
          <w:i w:val="0"/>
          <w:sz w:val="24"/>
        </w:rPr>
        <w:t>Требования к заёмщикам: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в семье должен быть хотя бы один ребёнок в возрасте до 6 лет включительно или ребёнок с инвалидностью до 18 лет. В некоторых регионах есть послабления по количеству и возрасту детей (например, двое детей до 18 лет), уточняется на местах;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дети должны быть гражданами России;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брак между родителями не обязателен, право на участие есть и у одиноких родителей.</w:t>
      </w:r>
    </w:p>
    <w:p>
      <w:r>
        <w:rPr>
          <w:rFonts w:ascii="Times New Roman" w:hAnsi="Times New Roman"/>
          <w:b/>
          <w:i w:val="0"/>
          <w:sz w:val="24"/>
        </w:rPr>
        <w:t>Условия: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максимальная сумма кредита: 12 млн рублей для Москвы, Московской области, Санкт-Петербурга и Ленинградской области, 6 млн рублей — для остальных регионов. Если жильё стоит дороже, заёмщик может взять кредит свыше этих лимитов, но тогда банк выдаст его уже по своей рыночной ставке;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первоначальный взнос: не менее 20% от стоимости жилья. Сумму можно внести с использованием материнского капитала, региональных жилищных субсидий, компенсаций для многодетных семей и других видов господдержки;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срок кредита: до 30 лет. Допускается досрочное погашение без штрафов — например, с использованием маткапитала и субсидий.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AF1FA"/>
          </w:tcPr>
          <w:p>
            <w:r>
              <w:rPr>
                <w:rFonts w:ascii="Times New Roman" w:hAnsi="Times New Roman"/>
                <w:b/>
                <w:sz w:val="22"/>
              </w:rPr>
              <w:t>С апреля 2025 года</w:t>
            </w:r>
            <w:r>
              <w:rPr>
                <w:rFonts w:ascii="Times New Roman" w:hAnsi="Times New Roman"/>
                <w:sz w:val="22"/>
              </w:rPr>
              <w:t xml:space="preserve"> программа действует и на покупку вторичного жилья в некоторых городах. Перечень таких населённых пунктов утверждён «ДОМ.РФ» и регулярно обновляется (901 город по состоянию на 2025 год).</w:t>
            </w:r>
          </w:p>
        </w:tc>
      </w:tr>
    </w:tbl>
    <w:p/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2. Сельская ипотека</w:t>
      </w:r>
    </w:p>
    <w:p>
      <w:r>
        <w:rPr>
          <w:rFonts w:ascii="Times New Roman" w:hAnsi="Times New Roman"/>
          <w:b w:val="0"/>
          <w:i w:val="0"/>
          <w:sz w:val="24"/>
        </w:rPr>
        <w:t>Подать заявку можно в офисе Россельхозбанка или через онлайн-сервисы «Свое Село» и «Свое Жильё». По данным на 2025 год, сельскую ипотеку выдают несколько банков, аккредитованных Минсельхозом России. Однако из-за быстрого исчерпания лимитов не все финансовые учреждения принимают заявки в конкретный момент.</w:t>
      </w:r>
    </w:p>
    <w:p>
      <w:r>
        <w:rPr>
          <w:rFonts w:ascii="Times New Roman" w:hAnsi="Times New Roman"/>
          <w:b/>
          <w:i w:val="0"/>
          <w:sz w:val="24"/>
        </w:rPr>
        <w:t>Заёмщики:</w:t>
      </w:r>
    </w:p>
    <w:p>
      <w:r>
        <w:rPr>
          <w:rFonts w:ascii="Times New Roman" w:hAnsi="Times New Roman"/>
          <w:b w:val="0"/>
          <w:i w:val="0"/>
          <w:sz w:val="24"/>
        </w:rPr>
        <w:t>граждане России, проживающие в сельской местности или городе, входящем в программу развития (так называемый «опорный пункт»), а также планирующие туда переехать. Возраст заёмщика должен составлять от 21 до 75 лет. А также фермеры и работники агропромышленного комплекса, специалисты из организаций Минсельхоза, ветеринарных и рыбнадзорных служб, врачи, учителя, работники культуры и спорта в сельской местности, сотрудники органов местного самоуправления, участники СВО и их супруги.</w:t>
      </w:r>
    </w:p>
    <w:p>
      <w:r>
        <w:rPr>
          <w:rFonts w:ascii="Times New Roman" w:hAnsi="Times New Roman"/>
          <w:b/>
          <w:i w:val="0"/>
          <w:sz w:val="24"/>
        </w:rPr>
        <w:t>Условия: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ставка: до 3% годовых. Для приграничных территорий ставка ниже — 0,1% годовых;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срок ипотеки: до 25 лет;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максимальная сумма кредита: 6 млн рублей. Если ипотеку оформляют супруги в качестве созаёмщиков, максимальная сумма увеличивается до 12 млн рублей;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минимальный первоначальный взнос: от 20% стоимости жилья.</w:t>
      </w:r>
    </w:p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3. Дальневосточная ипотека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AF1FA"/>
          </w:tcPr>
          <w:p>
            <w:r>
              <w:rPr>
                <w:rFonts w:ascii="Times New Roman" w:hAnsi="Times New Roman"/>
                <w:b/>
                <w:sz w:val="22"/>
              </w:rPr>
              <w:t>Важно:</w:t>
            </w:r>
            <w:r>
              <w:rPr>
                <w:rFonts w:ascii="Times New Roman" w:hAnsi="Times New Roman"/>
                <w:sz w:val="22"/>
              </w:rPr>
              <w:t xml:space="preserve"> участвовать в программе можно только один раз — это затрагивает как основного заёмщика, так и его созаёмщика. В отдельных случаях банк может потребовать предоставить дополнительную недвижимость в залог, если стоимость приобретаемого жилья не полностью покрывает риски кредитора.</w:t>
            </w:r>
          </w:p>
        </w:tc>
      </w:tr>
    </w:tbl>
    <w:p/>
    <w:p>
      <w:r>
        <w:rPr>
          <w:rFonts w:ascii="Times New Roman" w:hAnsi="Times New Roman"/>
          <w:b/>
          <w:i w:val="0"/>
          <w:sz w:val="24"/>
        </w:rPr>
        <w:t>Заёмщики:</w:t>
      </w:r>
    </w:p>
    <w:p>
      <w:r>
        <w:rPr>
          <w:rFonts w:ascii="Times New Roman" w:hAnsi="Times New Roman"/>
          <w:b w:val="0"/>
          <w:i w:val="0"/>
          <w:sz w:val="24"/>
        </w:rPr>
        <w:t>ипотеку могут взять молодые супруги до 35 лет, одинокие родители с детьми, участники программ «Дальневосточный гектар» и «Повышение мобильности трудовых ресурсов», а также медики, учителя, работники ОПК, участники СВО и переселенцы с новых территорий. Для ряда категорий возраст и семейное положение значения не имеют.</w:t>
      </w:r>
    </w:p>
    <w:p>
      <w:r>
        <w:rPr>
          <w:rFonts w:ascii="Times New Roman" w:hAnsi="Times New Roman"/>
          <w:b/>
          <w:i w:val="0"/>
          <w:sz w:val="24"/>
        </w:rPr>
        <w:t>Условия: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срок действия — до 2030 года;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процентная ставка — до 2% годовых, по усмотрению банка может быть снижена;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сумма кредита — до 6 млн рублей, но может быть увеличена до 9 млн рублей, если заёмщик собирается купить или построить жильё площадью более 60 кв. м. На вторичный рынок это правило не распространяется. Первоначальный взнос — от 20%. Можно использовать маткапитал и средства, полученные по программе «Молодая семья», как первоначальный взнос или для погашения кредита;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срок кредитования — до 20 лет.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AF1FA"/>
          </w:tcPr>
          <w:p>
            <w:r>
              <w:rPr>
                <w:rFonts w:ascii="Times New Roman" w:hAnsi="Times New Roman"/>
                <w:b/>
                <w:sz w:val="22"/>
              </w:rPr>
              <w:t>Важно:</w:t>
            </w:r>
            <w:r>
              <w:rPr>
                <w:rFonts w:ascii="Times New Roman" w:hAnsi="Times New Roman"/>
                <w:sz w:val="22"/>
              </w:rPr>
              <w:t xml:space="preserve"> рефинансировать другую ипотеку по Дальневосточной программе нельзя!</w:t>
            </w:r>
          </w:p>
        </w:tc>
      </w:tr>
    </w:tbl>
    <w:p/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4. Арктическая ипотека</w:t>
      </w:r>
    </w:p>
    <w:p>
      <w:r>
        <w:rPr>
          <w:rFonts w:ascii="Times New Roman" w:hAnsi="Times New Roman"/>
          <w:b/>
          <w:i w:val="0"/>
          <w:sz w:val="24"/>
        </w:rPr>
        <w:t>Заёмщики: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молодые семьи (оба супруга не старше 35 лет);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граждане не старше 35 лет, имеющие детей в возрасте до 18 лет включительно;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участники программ «Дальневосточный гектар» и «Повышение мобильности трудовых ресурсов»;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работники государственных и муниципальных медицинских и образовательных организаций;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вынужденные переселенцы, проживающие в регионах Арктики;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работники оборонно-промышленного комплекса, находящегося на территории действия программы;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участники специальной военной операции и члены их семей.</w:t>
      </w:r>
    </w:p>
    <w:p>
      <w:r>
        <w:rPr>
          <w:rFonts w:ascii="Times New Roman" w:hAnsi="Times New Roman"/>
          <w:b/>
          <w:i w:val="0"/>
          <w:sz w:val="24"/>
        </w:rPr>
        <w:t>Условия:</w:t>
      </w:r>
    </w:p>
    <w:p>
      <w:r>
        <w:rPr>
          <w:rFonts w:ascii="Times New Roman" w:hAnsi="Times New Roman"/>
          <w:b w:val="0"/>
          <w:i w:val="0"/>
          <w:sz w:val="24"/>
        </w:rPr>
        <w:t>Программа работает только в Арктической зоне, которая включает 130 населённых пунктов из 9 регионов: Мурманская область, Ямало-Ненецкий, Ненецкий и Чукотский автономные округа — полностью; Архангельская область, Красноярский край, республики Карелия, Коми и Саха (Якутия) — частично.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ставка — до 2% годовых, по усмотрению банка может быть снижена;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сумма кредита — до 6 млн рублей, но может быть увеличена до 9 млн, если заёмщик собирается купить или построить жильё площадью более 60 кв. м. На вторичный рынок это правило не распространяется. Первоначальный взнос — от 20%;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срок кредитования — до 20 лет;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цена 1 кв. м объекта не должна превышать среднерыночный показатель в регионе, который установлен Минстроем на дату оформления кредита. Переоценку ведомство проводит раз в полгода. Можно использовать материнский капитал и средства, полученные по программе «Молодая семья», как первоначальный взнос или для погашения кредита.</w:t>
      </w:r>
    </w:p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5. Военная ипотека</w:t>
      </w:r>
    </w:p>
    <w:p>
      <w:r>
        <w:rPr>
          <w:rFonts w:ascii="Times New Roman" w:hAnsi="Times New Roman"/>
          <w:b/>
          <w:i w:val="0"/>
          <w:sz w:val="24"/>
        </w:rPr>
        <w:t>Заёмщики:</w:t>
      </w:r>
    </w:p>
    <w:p>
      <w:r>
        <w:rPr>
          <w:rFonts w:ascii="Times New Roman" w:hAnsi="Times New Roman"/>
          <w:b w:val="0"/>
          <w:i w:val="0"/>
          <w:sz w:val="24"/>
        </w:rPr>
        <w:t>военнослужащий должен быть участником Накопительно-ипотечной системы и состоять в ней на учёте не менее трёх лет (кроме участников СВО, которые могут оформить военную ипотеку сразу после регистрации в программе). Жильё можно купить на первичном или вторичном рынке, приобрести таунхаус или частный дом, если участок тоже будет принадлежать военнослужащему. Квартира или дом не должны быть аварийными, с обременением, задолженностью по ЖКХ.</w:t>
      </w:r>
    </w:p>
    <w:p>
      <w:r>
        <w:rPr>
          <w:rFonts w:ascii="Times New Roman" w:hAnsi="Times New Roman"/>
          <w:b w:val="0"/>
          <w:i w:val="0"/>
          <w:sz w:val="24"/>
        </w:rPr>
        <w:t>Жильё принадлежит только самому военнослужащему, члены его семьи не могут быть собственниками такой недвижимости.</w:t>
      </w:r>
    </w:p>
    <w:p>
      <w:r>
        <w:rPr>
          <w:rFonts w:ascii="Times New Roman" w:hAnsi="Times New Roman"/>
          <w:b/>
          <w:i w:val="0"/>
          <w:sz w:val="24"/>
        </w:rPr>
        <w:t>Условия: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максимальная сумма кредита зависит от банка. В 2025 году кредитные организации предлагают заём на сумму не более 1,86 миллиона рублей. Ставка по кредиту рыночная, зависит от банка;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минимальный первоначальный взнос варьируется, в некоторых банках он достигает 50,1% от суммы кредита;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дополнительные опции в разных банках позволяют взять по военной ипотеке дом с землёй или использовать для первоначального взноса средства материнского капитала;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доплата — если жильё стоит дороже, чем позволяет накопленная на личном счёте военнослужащего сумма и максимальная сумма по кредиту, то ему необходимо добавить личные средства.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AF1FA"/>
          </w:tcPr>
          <w:p>
            <w:r>
              <w:rPr>
                <w:rFonts w:ascii="Times New Roman" w:hAnsi="Times New Roman"/>
                <w:b/>
                <w:sz w:val="22"/>
              </w:rPr>
              <w:t>Важно:</w:t>
            </w:r>
            <w:r>
              <w:rPr>
                <w:rFonts w:ascii="Times New Roman" w:hAnsi="Times New Roman"/>
                <w:sz w:val="22"/>
              </w:rPr>
              <w:t xml:space="preserve"> если военный уволится досрочно по неуважительной причине (без выслуги 20 или 10 лет), государство прекращает выплаты по НИС. Возникает обязанность вернуть весь объём бюджетных средств, использованных на взнос и погашение кредита. Срок возврата — 10 лет. В случае гибели или смерти военнослужащего государство берёт на себя обязательства по погашению оставшейся суммы военной ипотеки. Имущество переходит в собственность членов семьи без долговых обязательств перед банком.</w:t>
            </w:r>
          </w:p>
        </w:tc>
      </w:tr>
    </w:tbl>
    <w:p/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6. Социальная ипотека и господдержка для бюджетников</w:t>
      </w:r>
    </w:p>
    <w:p>
      <w:r>
        <w:rPr>
          <w:rFonts w:ascii="Times New Roman" w:hAnsi="Times New Roman"/>
          <w:b w:val="0"/>
          <w:i w:val="0"/>
          <w:sz w:val="24"/>
        </w:rPr>
        <w:t>Заёмщики: работники государственных и муниципальных учреждений, социальные группы, выделенные в субъектах в льготные категории для ипотеки.</w:t>
      </w:r>
    </w:p>
    <w:p>
      <w:r>
        <w:rPr>
          <w:rFonts w:ascii="Times New Roman" w:hAnsi="Times New Roman"/>
          <w:b/>
          <w:i w:val="0"/>
          <w:sz w:val="24"/>
        </w:rPr>
        <w:t>Для бюджетников предусмотрено четыре программы льготного приобретения жилья: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покупка квартиры у государства по себестоимости;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субсидия на первоначальный взнос. Деньги нельзя забрать наличными или использовать на другие цели. Субсидию перечисляют напрямую в банк. Для её оформления потребуются документы, подтверждающие стаж работы по профессии, нуждаемость и обязательство по выработке в бюджетной организации в течение нескольких лет (обычно не менее 5 лет) или до полной выплаты ипотеки;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льготная процентная ставка. Предоставляется по программам господдержки: сельской, дальневосточной, военной, семейной ипотек. Суть заключается в том, что банк выдаёт заёмщику кредит на покупку жилья по ставке ниже рыночной, а государство возмещает банку разницу;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компенсация процентов по ипотеке. Согласно ст. 220 Налогового кодекса РФ, заёмщик может вернуть 13% от уплаченных процентов по ипотеке, но не более 390 000 рублей за весь период. Для этого нужно обратиться в бухгалтерию работодателя сразу же, как был оформлен ипотечный кредит. Работодатель не будет вычитать из зарплаты подоходный налог до тех пор, пока не исчерпается лимит по имущественному налоговому вычету.</w:t>
      </w:r>
    </w:p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7. Корпоративные программы</w:t>
      </w:r>
    </w:p>
    <w:p>
      <w:r>
        <w:rPr>
          <w:rFonts w:ascii="Times New Roman" w:hAnsi="Times New Roman"/>
          <w:b w:val="0"/>
          <w:i w:val="0"/>
          <w:sz w:val="24"/>
        </w:rPr>
        <w:t>Заёмщики: работники организации, которая предоставляет льготы для приобретения жилья.</w:t>
      </w:r>
    </w:p>
    <w:p>
      <w:r>
        <w:rPr>
          <w:rFonts w:ascii="Times New Roman" w:hAnsi="Times New Roman"/>
          <w:b w:val="0"/>
          <w:i w:val="0"/>
          <w:sz w:val="24"/>
        </w:rPr>
        <w:t>Чтобы оформить корпоративную ипотеку, в первую очередь необходимо обратиться в отдел кадров вашей компании. Сотрудники предоставят полный перечень необходимых документов и расскажут, с какими банками организация сотрудничает в рамках корпоративной программы. Все вопросы, связанные с подготовкой и подачей документов, берёт на себя работодатель.</w:t>
      </w:r>
    </w:p>
    <w:p>
      <w:r>
        <w:rPr>
          <w:rFonts w:ascii="Times New Roman" w:hAnsi="Times New Roman"/>
          <w:b w:val="0"/>
          <w:i w:val="0"/>
          <w:sz w:val="24"/>
        </w:rPr>
        <w:t>Условия: индивидуальные — установлены в организации (соглашение с банком-партнёром).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3"/>
      </w:tblGrid>
      <w:tr>
        <w:tc>
          <w:tcPr>
            <w:tcW w:type="dxa" w:w="9973"/>
            <w:shd w:val="clear" w:fill="EAF1FA"/>
          </w:tcPr>
          <w:p>
            <w:r>
              <w:rPr>
                <w:rFonts w:ascii="Times New Roman" w:hAnsi="Times New Roman"/>
                <w:b/>
                <w:sz w:val="22"/>
              </w:rPr>
              <w:t>Помните:</w:t>
            </w:r>
            <w:r>
              <w:rPr>
                <w:rFonts w:ascii="Times New Roman" w:hAnsi="Times New Roman"/>
                <w:sz w:val="22"/>
              </w:rPr>
              <w:t xml:space="preserve"> в случае увольнения сотрудник будет самостоятельно исполнять обязательства по ипотечному кредиту.</w:t>
            </w:r>
          </w:p>
        </w:tc>
      </w:tr>
    </w:tbl>
    <w:p/>
    <w:p>
      <w:pPr>
        <w:spacing w:before="240" w:after="120"/>
      </w:pPr>
      <w:r>
        <w:rPr>
          <w:rFonts w:ascii="Times New Roman" w:hAnsi="Times New Roman"/>
          <w:b/>
          <w:color w:val="1F3864"/>
          <w:sz w:val="28"/>
        </w:rPr>
        <w:t>8. Важно знать перед переездом в другое жильё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Дальневосточная и Арктическая ипотека предоставляются по одной на заёмщика и созаёмщика;</w:t>
      </w:r>
    </w:p>
    <w:p>
      <w:pPr>
        <w:pStyle w:val="ListBullet"/>
        <w:spacing w:after="40"/>
      </w:pPr>
      <w:r>
        <w:rPr>
          <w:rFonts w:ascii="Times New Roman" w:hAnsi="Times New Roman"/>
          <w:sz w:val="24"/>
        </w:rPr>
        <w:t>при переезде льготные условия сохраняются только в регионах действия программы.</w:t>
      </w:r>
    </w:p>
    <w:p>
      <w:pPr>
        <w:jc w:val="center"/>
      </w:pPr>
      <w:r>
        <w:rPr>
          <w:rFonts w:ascii="Times New Roman" w:hAnsi="Times New Roman"/>
          <w:b w:val="0"/>
          <w:i/>
          <w:sz w:val="18"/>
        </w:rPr>
        <w:t>Актуально на 2026 год. Памятка носит информационный характер и не заменяет положения законодательства.</w:t>
      </w:r>
    </w:p>
    <w:sectPr w:rsidR="00FC693F" w:rsidRPr="0006063C" w:rsidSect="00034616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 w:eastAsia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cs="Times New Roman"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 w:eastAsia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cs="Times New Roman" w:eastAsia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cs="Times New Roman" w:eastAsia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cs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cs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 w:cs="Times New Roman" w:eastAsia="Times New Roman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 w:cs="Times New Roman" w:eastAsia="Times New Roman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 w:cs="Times New Roman" w:eastAsia="Times New Roman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cs="Times New Roman" w:eastAsia="Times New Roman"/>
      <w:sz w:val="24"/>
    </w:rPr>
  </w:style>
  <w:style w:type="table" w:default="1" w:styleId="TableNormal">
    <w:name w:val="Normal Table"/>
    <w:uiPriority w:val="99"/>
    <w:semiHidden/>
    <w:unhideWhenUsed/>
    <w:rPr>
      <w:rFonts w:ascii="Times New Roman" w:hAnsi="Times New Roman" w:cs="Times New Roman" w:eastAsia="Times New Roman"/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cs="Times New Roman" w:eastAsia="Times New Roman"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color w:val="17365D" w:themeColor="text2" w:themeShade="BF"/>
      <w:spacing w:val="5"/>
      <w:kern w:val="28"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cs="Times New Roman" w:eastAsia="Times New Roman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cs="Times New Roman" w:eastAsia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cs="Times New Roman" w:eastAsia="Times New Roman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cs="Times New Roman" w:eastAsia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cs="Times New Roman" w:eastAsia="Times New Roman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cs="Times New Roman" w:eastAsia="Times New Roman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cs="Times New Roman" w:eastAsia="Times New Roman"/>
      <w:sz w:val="24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cs="Times New Roman" w:eastAsia="Times New Roman"/>
      <w:sz w:val="24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cs="Times New Roman" w:eastAsia="Times New Roman"/>
      <w:sz w:val="24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cs="Times New Roman" w:eastAsia="Times New Roman"/>
      <w:sz w:val="24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 w:eastAsia="Times New Roman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cs="Times New Roman" w:eastAsia="Times New Roman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cs="Times New Roman" w:eastAsia="Times New Roman"/>
      <w:sz w:val="2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cs="Times New Roman" w:eastAsia="Times New Roman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cs="Times New Roman" w:eastAsia="Times New Roman"/>
      <w:sz w:val="2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cs="Times New Roman" w:eastAsia="Times New Roman"/>
      <w:sz w:val="2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cs="Times New Roman" w:eastAsia="Times New Roman"/>
      <w:sz w:val="24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cs="Times New Roman" w:eastAsia="Times New Roman"/>
      <w:sz w:val="24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cs="Times New Roman" w:eastAsia="Times New Roman"/>
      <w:sz w:val="24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4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cs="Times New Roman" w:eastAsia="Times New Roman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cs="Times New Roman" w:eastAsia="Times New Roman"/>
      <w:i/>
      <w:i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Times New Roman" w:hAnsi="Times New Roman" w:cs="Times New Roman" w:eastAsia="Times New Roman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/>
      <w:bCs/>
      <w:color w:val="4F81BD" w:themeColor="accent1"/>
      <w:sz w:val="24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cs="Times New Roman" w:eastAsia="Times New Roman"/>
      <w:b/>
      <w:bCs/>
      <w:sz w:val="24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cs="Times New Roman" w:eastAsia="Times New Roman"/>
      <w:i/>
      <w:i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 w:cs="Times New Roman" w:eastAsia="Times New Roman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cs="Times New Roman" w:eastAsia="Times New Roman"/>
      <w:i/>
      <w:iCs/>
      <w:color w:val="808080" w:themeColor="text1" w:themeTint="7F"/>
      <w:sz w:val="24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  <w:sz w:val="24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cs="Times New Roman" w:eastAsia="Times New Roman"/>
      <w:smallCaps/>
      <w:color w:val="C0504D" w:themeColor="accent2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cs="Times New Roman" w:eastAsia="Times New Roman"/>
      <w:b/>
      <w:bCs/>
      <w:smallCaps/>
      <w:color w:val="C0504D" w:themeColor="accent2"/>
      <w:spacing w:val="5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cs="Times New Roman" w:eastAsia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cs="Times New Roman" w:eastAsia="Times New Roman"/>
      <w:sz w:val="2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000000" w:themeColor="text1" w:themeShade="BF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365F91" w:themeColor="accent1" w:themeShade="BF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943634" w:themeColor="accent2" w:themeShade="BF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76923C" w:themeColor="accent3" w:themeShade="BF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5F497A" w:themeColor="accent4" w:themeShade="BF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31849B" w:themeColor="accent5" w:themeShade="BF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hAnsi="Times New Roman" w:cs="Times New Roman" w:eastAsia="Times New Roman"/>
      <w:color w:val="E36C0A" w:themeColor="accent6" w:themeShade="BF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hAnsi="Times New Roman" w:cs="Times New Roman" w:eastAsia="Times New Roman"/>
      <w:color w:val="FFFFFF" w:themeColor="background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