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jc w:val="center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>
        <w:trPr/>
        <w:tc>
          <w:tcPr>
            <w:shd w:val="clear" w:color="auto" w:fill="ffffff"/>
            <w:tcBorders/>
            <w:tcW w:w="3231" w:type="dxa"/>
            <w:textDirection w:val="lrTb"/>
            <w:noWrap w:val="false"/>
          </w:tcPr>
          <w:p>
            <w:pPr>
              <w:pBdr/>
              <w:spacing w:after="0"/>
              <w:ind/>
              <w:rPr>
                <w:b/>
                <w:bCs/>
                <w:i w:val="0"/>
              </w:rPr>
            </w:pPr>
            <w:r>
              <w:rPr>
                <w:b/>
                <w:bCs/>
                <w:i w:val="0"/>
                <w:iCs w:val="0"/>
                <w:sz w:val="12"/>
              </w:rPr>
              <w:t xml:space="preserve"> </w:t>
            </w:r>
            <w:r>
              <w:rPr>
                <w:b/>
                <w:bCs/>
                <w:i w:val="0"/>
                <w:iCs w:val="0"/>
              </w:rPr>
            </w:r>
          </w:p>
        </w:tc>
        <w:tc>
          <w:tcPr>
            <w:shd w:val="clear" w:color="auto" w:fill="1f3a5f"/>
            <w:tcBorders/>
            <w:tcW w:w="3231" w:type="dxa"/>
            <w:textDirection w:val="lrTb"/>
            <w:noWrap w:val="false"/>
          </w:tcPr>
          <w:p>
            <w:pPr>
              <w:pBdr/>
              <w:spacing w:after="0"/>
              <w:ind/>
              <w:rPr>
                <w:b/>
                <w:bCs/>
                <w:i w:val="0"/>
              </w:rPr>
            </w:pPr>
            <w:r>
              <w:rPr>
                <w:b/>
                <w:bCs/>
                <w:i w:val="0"/>
                <w:iCs w:val="0"/>
                <w:sz w:val="12"/>
              </w:rPr>
              <w:t xml:space="preserve"> </w:t>
            </w:r>
            <w:r>
              <w:rPr>
                <w:b/>
                <w:bCs/>
                <w:i w:val="0"/>
                <w:iCs w:val="0"/>
              </w:rPr>
            </w:r>
          </w:p>
        </w:tc>
        <w:tc>
          <w:tcPr>
            <w:shd w:val="clear" w:color="auto" w:fill="c0392b"/>
            <w:tcBorders/>
            <w:tcW w:w="3231" w:type="dxa"/>
            <w:textDirection w:val="lrTb"/>
            <w:noWrap w:val="false"/>
          </w:tcPr>
          <w:p>
            <w:pPr>
              <w:pBdr/>
              <w:spacing w:after="0"/>
              <w:ind/>
              <w:rPr>
                <w:b/>
                <w:bCs/>
                <w:i w:val="0"/>
              </w:rPr>
            </w:pPr>
            <w:r>
              <w:rPr>
                <w:b/>
                <w:bCs/>
                <w:i w:val="0"/>
                <w:iCs w:val="0"/>
                <w:sz w:val="12"/>
              </w:rPr>
              <w:t xml:space="preserve"> </w:t>
            </w:r>
            <w:r>
              <w:rPr>
                <w:b/>
                <w:bCs/>
                <w:i w:val="0"/>
                <w:iCs w:val="0"/>
              </w:rPr>
            </w:r>
          </w:p>
        </w:tc>
      </w:tr>
    </w:tbl>
    <w:p>
      <w:pPr>
        <w:pBdr/>
        <w:spacing w:after="40"/>
        <w:ind/>
        <w:jc w:val="center"/>
        <w:rPr>
          <w:b/>
          <w:bCs/>
          <w:i w:val="0"/>
        </w:rPr>
      </w:pPr>
      <w:r>
        <w:rPr>
          <w:rFonts w:ascii="Times New Roman" w:hAnsi="Times New Roman"/>
          <w:b/>
          <w:bCs/>
          <w:i w:val="0"/>
          <w:iCs w:val="0"/>
          <w:color w:val="1f3a5f"/>
          <w:sz w:val="28"/>
        </w:rPr>
        <w:t xml:space="preserve">Единовременная выплата в связи с гибелью военнослужащего</w:t>
      </w:r>
      <w:r>
        <w:rPr>
          <w:b/>
          <w:bCs/>
          <w:i w:val="0"/>
          <w:iCs w:val="0"/>
        </w:rPr>
      </w:r>
    </w:p>
    <w:p>
      <w:pPr>
        <w:pBdr/>
        <w:spacing w:after="200"/>
        <w:ind/>
        <w:jc w:val="center"/>
        <w:rPr/>
      </w:pPr>
      <w:r>
        <w:rPr>
          <w:rFonts w:ascii="Times New Roman" w:hAnsi="Times New Roman"/>
          <w:b w:val="0"/>
          <w:i/>
          <w:color w:val="444444"/>
          <w:sz w:val="22"/>
        </w:rPr>
        <w:t xml:space="preserve">(Указ Президента Российской Федерации от 5 марта 2022 г. № 98)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1. Основные руководящие документы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1. </w:t>
      </w:r>
      <w:r>
        <w:rPr>
          <w:rFonts w:ascii="Times New Roman" w:hAnsi="Times New Roman"/>
          <w:b w:val="0"/>
          <w:i w:val="0"/>
          <w:sz w:val="22"/>
        </w:rPr>
        <w:t xml:space="preserve">Указ Президента Российской Федерации от 5 марта 2022 г. № 98 «О дополнительных социальных гарантиях военнослужащим, лицам, проходящим службу в войсках национальной гвардии Российской Федерации, и членам их семей».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2. </w:t>
      </w:r>
      <w:r>
        <w:rPr>
          <w:rFonts w:ascii="Times New Roman" w:hAnsi="Times New Roman"/>
          <w:b w:val="0"/>
          <w:i w:val="0"/>
          <w:sz w:val="22"/>
        </w:rPr>
        <w:t xml:space="preserve">Приказ Минис</w:t>
      </w:r>
      <w:r>
        <w:rPr>
          <w:rFonts w:ascii="Times New Roman" w:hAnsi="Times New Roman"/>
          <w:b w:val="0"/>
          <w:i w:val="0"/>
          <w:sz w:val="22"/>
        </w:rPr>
        <w:t xml:space="preserve">тра обороны Российской Федерации от 22 апреля 2022 г. № 236 «Об определении порядка назначения и осуществления единовременных выплат, установленных Указом Президента Российской Федерации от 5 марта 2022 года № 98, в Вооружённых Силах Российской Федерации».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2. Размер выплаты</w:t>
      </w:r>
      <w:r/>
    </w:p>
    <w:p>
      <w:pPr>
        <w:pBdr/>
        <w:spacing w:after="8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Единовременная выплата члена</w:t>
      </w:r>
      <w:r>
        <w:rPr>
          <w:rFonts w:ascii="Times New Roman" w:hAnsi="Times New Roman"/>
          <w:b w:val="0"/>
          <w:i w:val="0"/>
          <w:sz w:val="22"/>
        </w:rPr>
        <w:t xml:space="preserve">м семей военнослужащих Вооружённых Сил Российской Федерации, принимавших участие в специальной военной операции, выполнявших специальные задачи на территории Сирийской Арабской Республики, назначается и осуществляется в размере 5 млн рублей в равных долях.</w:t>
      </w:r>
      <w:r/>
    </w:p>
    <w:p>
      <w:pPr>
        <w:pBdr/>
        <w:spacing w:after="80"/>
        <w:ind/>
        <w:rPr/>
      </w:pPr>
      <w:r>
        <w:rPr>
          <w:rFonts w:ascii="Times New Roman" w:hAnsi="Times New Roman"/>
          <w:b w:val="0"/>
          <w:i/>
          <w:color w:val="444444"/>
          <w:sz w:val="22"/>
        </w:rPr>
        <w:t xml:space="preserve">Условия выплаты: гибель (смерть) военнослужащего при участии в специальной военной операции или при выполнении специальных задач на тер</w:t>
      </w:r>
      <w:r>
        <w:rPr>
          <w:rFonts w:ascii="Times New Roman" w:hAnsi="Times New Roman"/>
          <w:b w:val="0"/>
          <w:i/>
          <w:color w:val="444444"/>
          <w:sz w:val="22"/>
        </w:rPr>
        <w:t xml:space="preserve">ритории Сирийской Арабской Республики либо смерть военнослужащего до истечения одного года со дня увольнения с военной службы, наступившая вследствие увечья (ранения, травмы, контузии) или заболевания, полученных при исполнении обязанностей военной службы.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3. Категории членов семьи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1) </w:t>
      </w:r>
      <w:r>
        <w:rPr>
          <w:rFonts w:ascii="Times New Roman" w:hAnsi="Times New Roman"/>
          <w:b w:val="0"/>
          <w:i w:val="0"/>
          <w:sz w:val="22"/>
        </w:rPr>
        <w:t xml:space="preserve">супруга (супруг), состоящая (состоящий) на день гибели (смерти) военнослужащего в зарегистрированном браке с ним;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2) </w:t>
      </w:r>
      <w:r>
        <w:rPr>
          <w:rFonts w:ascii="Times New Roman" w:hAnsi="Times New Roman"/>
          <w:b w:val="0"/>
          <w:i w:val="0"/>
          <w:sz w:val="22"/>
        </w:rPr>
        <w:t xml:space="preserve">родители военнослужащего;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3) </w:t>
      </w:r>
      <w:r>
        <w:rPr>
          <w:rFonts w:ascii="Times New Roman" w:hAnsi="Times New Roman"/>
          <w:b w:val="0"/>
          <w:i w:val="0"/>
          <w:sz w:val="22"/>
        </w:rPr>
        <w:t xml:space="preserve">дети, не достигшие возрас</w:t>
      </w:r>
      <w:r>
        <w:rPr>
          <w:rFonts w:ascii="Times New Roman" w:hAnsi="Times New Roman"/>
          <w:b w:val="0"/>
          <w:i w:val="0"/>
          <w:sz w:val="22"/>
        </w:rPr>
        <w:t xml:space="preserve">та 18 лет, или старше этого возраста, если они стали инвалидами до достижения ими возраста 18 лет, а также дети, обучающиеся в образовательных организациях по очной форме обучения, — до окончания обучения, но не более чем до достижения ими возраста 23 лет;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4) </w:t>
      </w:r>
      <w:r>
        <w:rPr>
          <w:rFonts w:ascii="Times New Roman" w:hAnsi="Times New Roman"/>
          <w:b w:val="0"/>
          <w:i w:val="0"/>
          <w:sz w:val="22"/>
        </w:rPr>
        <w:t xml:space="preserve">лицо, признанное фактически воспитывавшим и содержавшим военнослужащего (фактический воспитатель). Признание производится судом в порядке особого производства по делам об установлении фактов, имеющих юридическое значение.</w:t>
      </w:r>
      <w:r/>
    </w:p>
    <w:p>
      <w:pPr>
        <w:pBdr/>
        <w:spacing w:after="80"/>
        <w:ind/>
        <w:rPr/>
      </w:pPr>
      <w:r>
        <w:rPr>
          <w:rFonts w:ascii="Times New Roman" w:hAnsi="Times New Roman"/>
          <w:b/>
          <w:i w:val="0"/>
          <w:sz w:val="22"/>
        </w:rPr>
        <w:t xml:space="preserve">Важно: факт фактического воспитания и содержания военнослужащего подтверждается решением суда.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4. Если членов семьи нет</w:t>
      </w:r>
      <w:r/>
    </w:p>
    <w:p>
      <w:pPr>
        <w:pBdr/>
        <w:spacing w:after="8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При отсутствии у военнослужащего членов семьи единовременная выплата осуществляется в равных долях совершеннолетним детям либо, в случае отсутствия совершеннолетних детей, полнородным и неполнородным братьям и сёстрам.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5. Кем осуществляется выплата</w:t>
      </w:r>
      <w:r/>
    </w:p>
    <w:tbl>
      <w:tblPr>
        <w:tblStyle w:val="934"/>
        <w:jc w:val="center"/>
        <w:tblW w:w="0" w:type="auto"/>
        <w:tblBorders/>
        <w:tblLook w:val="04A0" w:firstRow="1" w:lastRow="0" w:firstColumn="1" w:lastColumn="0" w:noHBand="0" w:noVBand="1"/>
      </w:tblPr>
      <w:tblGrid>
        <w:gridCol w:w="4986"/>
        <w:gridCol w:w="4986"/>
      </w:tblGrid>
      <w:tr>
        <w:trPr/>
        <w:tc>
          <w:tcPr>
            <w:shd w:val="clear" w:color="auto" w:fill="1f3a5f"/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/>
                <w:i w:val="0"/>
                <w:color w:val="ffffff"/>
                <w:sz w:val="22"/>
              </w:rPr>
              <w:t xml:space="preserve">Случай</w:t>
            </w:r>
            <w:r/>
          </w:p>
        </w:tc>
        <w:tc>
          <w:tcPr>
            <w:shd w:val="clear" w:color="auto" w:fill="1f3a5f"/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/>
                <w:i w:val="0"/>
                <w:color w:val="ffffff"/>
                <w:sz w:val="22"/>
              </w:rPr>
              <w:t xml:space="preserve">Кто осуществляет выплату</w:t>
            </w:r>
            <w:r/>
          </w:p>
        </w:tc>
      </w:tr>
      <w:tr>
        <w:trPr/>
        <w:tc>
          <w:tcPr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Гибель (смерть) военнослужащего, принимавшего участие в специальной военной операции или выполнявшего специальные задачи на территории Сирийской Арабской Республики</w:t>
            </w:r>
            <w:r/>
          </w:p>
        </w:tc>
        <w:tc>
          <w:tcPr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Финансовый орган, обеспечивающий воинскую часть, в которой военнослужащий проходил военную службу на дату гибели (смерти)</w:t>
            </w:r>
            <w:r/>
          </w:p>
        </w:tc>
      </w:tr>
      <w:tr>
        <w:trPr/>
        <w:tc>
          <w:tcPr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Смерть военнослужащего до истечения одного года со дня увольнения с военной службы, наступившая вследствие увечья (ранения, травмы, контузии) или заболевания, полученных при исполнении обязанностей военной службы</w:t>
            </w:r>
            <w:r/>
          </w:p>
        </w:tc>
        <w:tc>
          <w:tcPr>
            <w:tcBorders/>
            <w:tcW w:w="4986" w:type="dxa"/>
            <w:textDirection w:val="lrTb"/>
            <w:noWrap w:val="false"/>
          </w:tcPr>
          <w:p>
            <w:pPr>
              <w:pBdr/>
              <w:spacing w:after="0"/>
              <w:ind/>
              <w:rPr/>
            </w:pPr>
            <w:r>
              <w:rPr>
                <w:rFonts w:ascii="Times New Roman" w:hAnsi="Times New Roman"/>
                <w:b w:val="0"/>
                <w:i w:val="0"/>
                <w:sz w:val="22"/>
              </w:rPr>
              <w:t xml:space="preserve">Военный комиссариат субъекта Российской Федерации по месту жительства военнослужащего (гражданина, уволенного с военной службы)</w:t>
            </w:r>
            <w:r/>
          </w:p>
        </w:tc>
      </w:tr>
    </w:tbl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6. Кто принимает решение</w:t>
      </w:r>
      <w:r/>
    </w:p>
    <w:p>
      <w:pPr>
        <w:pBdr/>
        <w:spacing w:after="8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Решение о назначении единовременной выплаты либо об отказе в её назначении (если заявитель не</w:t>
      </w:r>
      <w:r>
        <w:rPr>
          <w:rFonts w:ascii="Times New Roman" w:hAnsi="Times New Roman"/>
          <w:b w:val="0"/>
          <w:i w:val="0"/>
          <w:sz w:val="22"/>
        </w:rPr>
        <w:t xml:space="preserve"> относится к категориям, определённым Указом № 98) принимает командир (начальник) воинской части, в которой военнослужащий проходил военную службу, или военный комиссар субъекта Российской Федерации по месту жительства погибшего (умершего) военнослужащего.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7. Перечень документов для получения выплаты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заявление члена семьи погибшего (умершего) военнослужащего (либо его законного представителя) на получение единовременной выплаты. Несовершеннолетние дети погибшего (умершег</w:t>
      </w:r>
      <w:r>
        <w:rPr>
          <w:rFonts w:ascii="Times New Roman" w:hAnsi="Times New Roman"/>
          <w:b w:val="0"/>
          <w:i w:val="0"/>
          <w:sz w:val="22"/>
        </w:rPr>
        <w:t xml:space="preserve">о) военнослужащего включаются в заявление законного представителя. Выплата, причитающаяся несовершеннолетним детям, перечисляется на счета, открытые в кредитной организации родителем (усыновителем, опекуном, попечителем) на имя несовершеннолетнего ребёнка;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копия свидетельства о смерти военнослужащего;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копии документов, удостоверяющих личность заявителей;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копии документов, подтверждающих родственную связь с погибшим (умершим) военнослужащим;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копия справки, подтверждающей факт установления инвалидности детям погибшего (умершего) военнослужащего до достижения ими возраста 18 лет, — для детей, достигших 18 лет и ставших инвалидами до этого возраста;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справка образовательной организации, подтверждающая обучение по очной форме, с указанием даты начала обучения, — для детей военнослужащего в возрасте от 18 до 23 лет;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копия решения органа опеки и попечительства о назначении опекуна (попечителя) — для опекуна (попечителя);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копия решения суда о признании лица фактически воспитывавшим и содержавшим военнослужащего в течение не менее пяти лет до достижения им совершеннолетия (фактическим воспитателем) — для фактического воспитателя;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реквизиты банковского счёта.</w:t>
      </w:r>
      <w:r/>
    </w:p>
    <w:p>
      <w:pPr>
        <w:pBdr/>
        <w:spacing w:after="120"/>
        <w:ind/>
        <w:rPr/>
      </w:pPr>
      <w:r>
        <w:rPr>
          <w:rFonts w:ascii="Times New Roman" w:hAnsi="Times New Roman"/>
          <w:b/>
          <w:i w:val="0"/>
          <w:color w:val="1f3a5f"/>
          <w:sz w:val="26"/>
        </w:rPr>
        <w:t xml:space="preserve">8. Правовая база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Указ Президента Российской Федерации от 5 марта 2022 г. № 98 «О дополнительных социальных гарантиях военнослужащим, лицам, проходящим службу в войсках национальной гвардии Российской Федерации, и членам их семей».</w:t>
      </w:r>
      <w:r/>
    </w:p>
    <w:p>
      <w:pPr>
        <w:pStyle w:val="904"/>
        <w:pBdr/>
        <w:spacing w:after="60"/>
        <w:ind/>
        <w:rPr/>
      </w:pPr>
      <w:r>
        <w:rPr>
          <w:rFonts w:ascii="Times New Roman" w:hAnsi="Times New Roman"/>
          <w:b w:val="0"/>
          <w:i w:val="0"/>
          <w:sz w:val="22"/>
        </w:rPr>
        <w:t xml:space="preserve">Приказ Министра обороны Российской Федерации от 22 апреля 2022 г. № 236.</w:t>
      </w:r>
      <w:r/>
    </w:p>
    <w:p>
      <w:pPr>
        <w:pBdr/>
        <w:spacing w:after="0"/>
        <w:ind/>
        <w:rPr/>
      </w:pPr>
      <w:r>
        <w:rPr>
          <w:rFonts w:ascii="Times New Roman" w:hAnsi="Times New Roman"/>
          <w:b w:val="0"/>
          <w:i/>
          <w:color w:val="444444"/>
          <w:sz w:val="18"/>
        </w:rPr>
        <w:t xml:space="preserve">Актуально на 2026 год. Памятка — ориентир, а не инструкция «под ключ»: перед обращением уточните актуальные нормы.</w:t>
      </w:r>
      <w:r/>
    </w:p>
    <w:sectPr>
      <w:footnotePr/>
      <w:endnotePr/>
      <w:type w:val="nextPage"/>
      <w:pgSz w:h="15840" w:orient="portrait" w:w="12240"/>
      <w:pgMar w:top="850" w:right="850" w:bottom="850" w:left="1417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">
    <w:panose1 w:val="050401020108070707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909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90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906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90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90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904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0">
    <w:name w:val="footnote text"/>
    <w:basedOn w:val="869"/>
    <w:link w:val="85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1">
    <w:name w:val="Footnote Text Char"/>
    <w:basedOn w:val="883"/>
    <w:link w:val="850"/>
    <w:uiPriority w:val="99"/>
    <w:semiHidden/>
    <w:pPr>
      <w:pBdr/>
      <w:spacing/>
      <w:ind/>
    </w:pPr>
    <w:rPr>
      <w:sz w:val="20"/>
      <w:szCs w:val="20"/>
    </w:rPr>
  </w:style>
  <w:style w:type="character" w:styleId="852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53">
    <w:name w:val="endnote text"/>
    <w:basedOn w:val="869"/>
    <w:link w:val="85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4">
    <w:name w:val="Endnote Text Char"/>
    <w:basedOn w:val="883"/>
    <w:link w:val="853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856">
    <w:name w:val="Hyperlink"/>
    <w:basedOn w:val="8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57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58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859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860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861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862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863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864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865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866">
    <w:name w:val="toc 9"/>
    <w:basedOn w:val="869"/>
    <w:next w:val="869"/>
    <w:uiPriority w:val="39"/>
    <w:unhideWhenUsed/>
    <w:pPr>
      <w:pBdr/>
      <w:spacing w:after="100"/>
      <w:ind w:left="1760"/>
    </w:pPr>
  </w:style>
  <w:style w:type="character" w:styleId="867">
    <w:name w:val="Placeholder Text"/>
    <w:basedOn w:val="883"/>
    <w:uiPriority w:val="99"/>
    <w:semiHidden/>
    <w:pPr>
      <w:pBdr/>
      <w:spacing/>
      <w:ind/>
    </w:pPr>
    <w:rPr>
      <w:color w:val="666666"/>
    </w:rPr>
  </w:style>
  <w:style w:type="paragraph" w:styleId="868">
    <w:name w:val="table of figures"/>
    <w:basedOn w:val="869"/>
    <w:next w:val="869"/>
    <w:uiPriority w:val="99"/>
    <w:unhideWhenUsed/>
    <w:pPr>
      <w:pBdr/>
      <w:spacing w:after="0" w:afterAutospacing="0"/>
      <w:ind/>
    </w:pPr>
  </w:style>
  <w:style w:type="paragraph" w:styleId="869" w:default="1">
    <w:name w:val="Normal"/>
    <w:qFormat/>
    <w:pPr>
      <w:pBdr/>
      <w:spacing w:after="80" w:line="276" w:lineRule="auto"/>
      <w:ind/>
    </w:pPr>
    <w:rPr>
      <w:rFonts w:ascii="Times New Roman" w:hAnsi="Times New Roman"/>
      <w:sz w:val="22"/>
    </w:rPr>
  </w:style>
  <w:style w:type="paragraph" w:styleId="870">
    <w:name w:val="Header"/>
    <w:basedOn w:val="869"/>
    <w:link w:val="87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71" w:customStyle="1">
    <w:name w:val="Header Char"/>
    <w:basedOn w:val="883"/>
    <w:link w:val="870"/>
    <w:uiPriority w:val="99"/>
    <w:pPr>
      <w:pBdr/>
      <w:spacing/>
      <w:ind/>
    </w:pPr>
  </w:style>
  <w:style w:type="paragraph" w:styleId="872">
    <w:name w:val="Footer"/>
    <w:basedOn w:val="869"/>
    <w:link w:val="87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73" w:customStyle="1">
    <w:name w:val="Footer Char"/>
    <w:basedOn w:val="883"/>
    <w:link w:val="872"/>
    <w:uiPriority w:val="99"/>
    <w:pPr>
      <w:pBdr/>
      <w:spacing/>
      <w:ind/>
    </w:pPr>
  </w:style>
  <w:style w:type="paragraph" w:styleId="874">
    <w:name w:val="Heading 1"/>
    <w:basedOn w:val="869"/>
    <w:next w:val="869"/>
    <w:link w:val="887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5">
    <w:name w:val="Heading 2"/>
    <w:basedOn w:val="869"/>
    <w:next w:val="869"/>
    <w:link w:val="888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6">
    <w:name w:val="Heading 3"/>
    <w:basedOn w:val="869"/>
    <w:next w:val="869"/>
    <w:link w:val="889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7">
    <w:name w:val="Heading 4"/>
    <w:basedOn w:val="869"/>
    <w:next w:val="869"/>
    <w:link w:val="917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878">
    <w:name w:val="Heading 5"/>
    <w:basedOn w:val="869"/>
    <w:next w:val="869"/>
    <w:link w:val="918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879">
    <w:name w:val="Heading 6"/>
    <w:basedOn w:val="869"/>
    <w:next w:val="869"/>
    <w:link w:val="919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880">
    <w:name w:val="Heading 7"/>
    <w:basedOn w:val="869"/>
    <w:next w:val="869"/>
    <w:link w:val="920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881">
    <w:name w:val="Heading 8"/>
    <w:basedOn w:val="869"/>
    <w:next w:val="869"/>
    <w:link w:val="921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882">
    <w:name w:val="Heading 9"/>
    <w:basedOn w:val="869"/>
    <w:next w:val="869"/>
    <w:link w:val="922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>
    <w:name w:val="No Spacing"/>
    <w:uiPriority w:val="1"/>
    <w:qFormat/>
    <w:pPr>
      <w:pBdr/>
      <w:spacing w:after="0" w:line="240" w:lineRule="auto"/>
      <w:ind/>
    </w:pPr>
  </w:style>
  <w:style w:type="character" w:styleId="887" w:customStyle="1">
    <w:name w:val="Heading 1 Char"/>
    <w:basedOn w:val="883"/>
    <w:link w:val="87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88" w:customStyle="1">
    <w:name w:val="Heading 2 Char"/>
    <w:basedOn w:val="883"/>
    <w:link w:val="87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89" w:customStyle="1">
    <w:name w:val="Heading 3 Char"/>
    <w:basedOn w:val="883"/>
    <w:link w:val="876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90">
    <w:name w:val="Title"/>
    <w:basedOn w:val="869"/>
    <w:next w:val="869"/>
    <w:link w:val="891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891" w:customStyle="1">
    <w:name w:val="Title Char"/>
    <w:basedOn w:val="883"/>
    <w:link w:val="890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892">
    <w:name w:val="Subtitle"/>
    <w:basedOn w:val="869"/>
    <w:next w:val="869"/>
    <w:link w:val="893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893" w:customStyle="1">
    <w:name w:val="Subtitle Char"/>
    <w:basedOn w:val="883"/>
    <w:link w:val="892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894">
    <w:name w:val="List Paragraph"/>
    <w:basedOn w:val="869"/>
    <w:uiPriority w:val="34"/>
    <w:qFormat/>
    <w:pPr>
      <w:pBdr/>
      <w:spacing/>
      <w:ind w:left="720"/>
      <w:contextualSpacing w:val="true"/>
    </w:pPr>
  </w:style>
  <w:style w:type="paragraph" w:styleId="895">
    <w:name w:val="Body Text"/>
    <w:basedOn w:val="869"/>
    <w:link w:val="896"/>
    <w:uiPriority w:val="99"/>
    <w:unhideWhenUsed/>
    <w:pPr>
      <w:pBdr/>
      <w:spacing w:after="120"/>
      <w:ind/>
    </w:pPr>
  </w:style>
  <w:style w:type="character" w:styleId="896" w:customStyle="1">
    <w:name w:val="Body Text Char"/>
    <w:basedOn w:val="883"/>
    <w:link w:val="895"/>
    <w:uiPriority w:val="99"/>
    <w:pPr>
      <w:pBdr/>
      <w:spacing/>
      <w:ind/>
    </w:pPr>
  </w:style>
  <w:style w:type="paragraph" w:styleId="897">
    <w:name w:val="Body Text 2"/>
    <w:basedOn w:val="869"/>
    <w:link w:val="898"/>
    <w:uiPriority w:val="99"/>
    <w:unhideWhenUsed/>
    <w:pPr>
      <w:pBdr/>
      <w:spacing w:after="120" w:line="480" w:lineRule="auto"/>
      <w:ind/>
    </w:pPr>
  </w:style>
  <w:style w:type="character" w:styleId="898" w:customStyle="1">
    <w:name w:val="Body Text 2 Char"/>
    <w:basedOn w:val="883"/>
    <w:link w:val="897"/>
    <w:uiPriority w:val="99"/>
    <w:pPr>
      <w:pBdr/>
      <w:spacing/>
      <w:ind/>
    </w:pPr>
  </w:style>
  <w:style w:type="paragraph" w:styleId="899">
    <w:name w:val="Body Text 3"/>
    <w:basedOn w:val="869"/>
    <w:link w:val="900"/>
    <w:uiPriority w:val="99"/>
    <w:unhideWhenUsed/>
    <w:pPr>
      <w:pBdr/>
      <w:spacing w:after="120"/>
      <w:ind/>
    </w:pPr>
    <w:rPr>
      <w:sz w:val="16"/>
      <w:szCs w:val="16"/>
    </w:rPr>
  </w:style>
  <w:style w:type="character" w:styleId="900" w:customStyle="1">
    <w:name w:val="Body Text 3 Char"/>
    <w:basedOn w:val="883"/>
    <w:link w:val="899"/>
    <w:uiPriority w:val="99"/>
    <w:pPr>
      <w:pBdr/>
      <w:spacing/>
      <w:ind/>
    </w:pPr>
    <w:rPr>
      <w:sz w:val="16"/>
      <w:szCs w:val="16"/>
    </w:rPr>
  </w:style>
  <w:style w:type="paragraph" w:styleId="901">
    <w:name w:val="List"/>
    <w:basedOn w:val="869"/>
    <w:uiPriority w:val="99"/>
    <w:unhideWhenUsed/>
    <w:pPr>
      <w:pBdr/>
      <w:spacing/>
      <w:ind w:hanging="360" w:left="360"/>
      <w:contextualSpacing w:val="true"/>
    </w:pPr>
  </w:style>
  <w:style w:type="paragraph" w:styleId="902">
    <w:name w:val="List 2"/>
    <w:basedOn w:val="869"/>
    <w:uiPriority w:val="99"/>
    <w:unhideWhenUsed/>
    <w:pPr>
      <w:pBdr/>
      <w:spacing/>
      <w:ind w:hanging="360" w:left="720"/>
      <w:contextualSpacing w:val="true"/>
    </w:pPr>
  </w:style>
  <w:style w:type="paragraph" w:styleId="903">
    <w:name w:val="List 3"/>
    <w:basedOn w:val="869"/>
    <w:uiPriority w:val="99"/>
    <w:unhideWhenUsed/>
    <w:pPr>
      <w:pBdr/>
      <w:spacing/>
      <w:ind w:hanging="360" w:left="1080"/>
      <w:contextualSpacing w:val="true"/>
    </w:pPr>
  </w:style>
  <w:style w:type="paragraph" w:styleId="904">
    <w:name w:val="List Bullet"/>
    <w:basedOn w:val="869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905">
    <w:name w:val="List Bullet 2"/>
    <w:basedOn w:val="869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906">
    <w:name w:val="List Bullet 3"/>
    <w:basedOn w:val="869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907">
    <w:name w:val="List Number"/>
    <w:basedOn w:val="869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908">
    <w:name w:val="List Number 2"/>
    <w:basedOn w:val="869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909">
    <w:name w:val="List Number 3"/>
    <w:basedOn w:val="869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910">
    <w:name w:val="List Continue"/>
    <w:basedOn w:val="869"/>
    <w:uiPriority w:val="99"/>
    <w:unhideWhenUsed/>
    <w:pPr>
      <w:pBdr/>
      <w:spacing w:after="120"/>
      <w:ind w:left="360"/>
      <w:contextualSpacing w:val="true"/>
    </w:pPr>
  </w:style>
  <w:style w:type="paragraph" w:styleId="911">
    <w:name w:val="List Continue 2"/>
    <w:basedOn w:val="869"/>
    <w:uiPriority w:val="99"/>
    <w:unhideWhenUsed/>
    <w:pPr>
      <w:pBdr/>
      <w:spacing w:after="120"/>
      <w:ind w:left="720"/>
      <w:contextualSpacing w:val="true"/>
    </w:pPr>
  </w:style>
  <w:style w:type="paragraph" w:styleId="912">
    <w:name w:val="List Continue 3"/>
    <w:basedOn w:val="869"/>
    <w:uiPriority w:val="99"/>
    <w:unhideWhenUsed/>
    <w:pPr>
      <w:pBdr/>
      <w:spacing w:after="120"/>
      <w:ind w:left="1080"/>
      <w:contextualSpacing w:val="true"/>
    </w:pPr>
  </w:style>
  <w:style w:type="paragraph" w:styleId="913">
    <w:name w:val="macro"/>
    <w:link w:val="914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Courier" w:hAnsi="Courier"/>
      <w:sz w:val="20"/>
      <w:szCs w:val="20"/>
    </w:rPr>
  </w:style>
  <w:style w:type="character" w:styleId="914" w:customStyle="1">
    <w:name w:val="Macro Text Char"/>
    <w:basedOn w:val="883"/>
    <w:link w:val="913"/>
    <w:uiPriority w:val="99"/>
    <w:pPr>
      <w:pBdr/>
      <w:spacing/>
      <w:ind/>
    </w:pPr>
    <w:rPr>
      <w:rFonts w:ascii="Courier" w:hAnsi="Courier"/>
      <w:sz w:val="20"/>
      <w:szCs w:val="20"/>
    </w:rPr>
  </w:style>
  <w:style w:type="paragraph" w:styleId="915">
    <w:name w:val="Quote"/>
    <w:basedOn w:val="869"/>
    <w:next w:val="869"/>
    <w:link w:val="916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916" w:customStyle="1">
    <w:name w:val="Quote Char"/>
    <w:basedOn w:val="883"/>
    <w:link w:val="915"/>
    <w:uiPriority w:val="29"/>
    <w:pPr>
      <w:pBdr/>
      <w:spacing/>
      <w:ind/>
    </w:pPr>
    <w:rPr>
      <w:i/>
      <w:iCs/>
      <w:color w:val="000000" w:themeColor="text1"/>
    </w:rPr>
  </w:style>
  <w:style w:type="character" w:styleId="917" w:customStyle="1">
    <w:name w:val="Heading 4 Char"/>
    <w:basedOn w:val="883"/>
    <w:link w:val="877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918" w:customStyle="1">
    <w:name w:val="Heading 5 Char"/>
    <w:basedOn w:val="883"/>
    <w:link w:val="87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919" w:customStyle="1">
    <w:name w:val="Heading 6 Char"/>
    <w:basedOn w:val="883"/>
    <w:link w:val="87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920" w:customStyle="1">
    <w:name w:val="Heading 7 Char"/>
    <w:basedOn w:val="883"/>
    <w:link w:val="880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21" w:customStyle="1">
    <w:name w:val="Heading 8 Char"/>
    <w:basedOn w:val="883"/>
    <w:link w:val="88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922" w:customStyle="1">
    <w:name w:val="Heading 9 Char"/>
    <w:basedOn w:val="883"/>
    <w:link w:val="882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923">
    <w:name w:val="Caption"/>
    <w:basedOn w:val="869"/>
    <w:next w:val="869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924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925">
    <w:name w:val="Emphasis"/>
    <w:basedOn w:val="883"/>
    <w:uiPriority w:val="20"/>
    <w:qFormat/>
    <w:pPr>
      <w:pBdr/>
      <w:spacing/>
      <w:ind/>
    </w:pPr>
    <w:rPr>
      <w:i/>
      <w:iCs/>
    </w:rPr>
  </w:style>
  <w:style w:type="paragraph" w:styleId="926">
    <w:name w:val="Intense Quote"/>
    <w:basedOn w:val="869"/>
    <w:next w:val="869"/>
    <w:link w:val="927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927" w:customStyle="1">
    <w:name w:val="Intense Quote Char"/>
    <w:basedOn w:val="883"/>
    <w:link w:val="926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928">
    <w:name w:val="Subtle Emphasis"/>
    <w:basedOn w:val="883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929">
    <w:name w:val="Intense Emphasis"/>
    <w:basedOn w:val="883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930">
    <w:name w:val="Subtle Reference"/>
    <w:basedOn w:val="883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931">
    <w:name w:val="Intense Reference"/>
    <w:basedOn w:val="883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932">
    <w:name w:val="Book Title"/>
    <w:basedOn w:val="883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933">
    <w:name w:val="TOC Heading"/>
    <w:basedOn w:val="874"/>
    <w:next w:val="869"/>
    <w:uiPriority w:val="39"/>
    <w:semiHidden/>
    <w:unhideWhenUsed/>
    <w:qFormat/>
    <w:pPr>
      <w:pBdr/>
      <w:spacing/>
      <w:ind/>
      <w:outlineLvl w:val="9"/>
    </w:pPr>
  </w:style>
  <w:style w:type="table" w:styleId="934">
    <w:name w:val="Table Grid"/>
    <w:basedOn w:val="8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ght Shading"/>
    <w:basedOn w:val="884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ght Shading Accent 1"/>
    <w:basedOn w:val="884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ght Shading Accent 2"/>
    <w:basedOn w:val="884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ght Shading Accent 3"/>
    <w:basedOn w:val="884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ght Shading Accent 4"/>
    <w:basedOn w:val="884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ght Shading Accent 5"/>
    <w:basedOn w:val="884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ght Shading Accent 6"/>
    <w:basedOn w:val="884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ght List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ght List Accent 1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ght List Accent 2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ght List Accent 3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ght List Accent 4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ght List Accent 5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ght List Accent 6"/>
    <w:basedOn w:val="884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ght Grid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ght Grid Accent 1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ght Grid Accent 2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ght Grid Accent 3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ght Grid Accent 4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ght Grid Accent 5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ght Grid Accent 6"/>
    <w:basedOn w:val="884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Medium Shading 1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Medium Shading 1 Accent 1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Medium Shading 1 Accent 2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Medium Shading 1 Accent 3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Medium Shading 1 Accent 4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Medium Shading 1 Accent 5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Medium Shading 1 Accent 6"/>
    <w:basedOn w:val="884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Medium Shading 2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Medium Shading 2 Accent 1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Medium Shading 2 Accent 2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Medium Shading 2 Accent 3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Medium Shading 2 Accent 4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Medium Shading 2 Accent 5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Medium Shading 2 Accent 6"/>
    <w:basedOn w:val="884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Medium List 1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Medium List 1 Accent 1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Medium List 1 Accent 2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Medium List 1 Accent 3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Medium List 1 Accent 4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Medium List 1 Accent 5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Medium List 1 Accent 6"/>
    <w:basedOn w:val="88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Medium List 2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Medium List 2 Accent 1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Medium List 2 Accent 2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Medium List 2 Accent 3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Medium List 2 Accent 4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Medium List 2 Accent 5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Medium List 2 Accent 6"/>
    <w:basedOn w:val="88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Medium Grid 1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Medium Grid 1 Accent 1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Medium Grid 1 Accent 2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Medium Grid 1 Accent 3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Medium Grid 1 Accent 4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Medium Grid 1 Accent 5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Medium Grid 1 Accent 6"/>
    <w:basedOn w:val="884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Medium Grid 2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Medium Grid 2 Accent 1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Medium Grid 2 Accent 2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Medium Grid 2 Accent 3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Medium Grid 2 Accent 4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Medium Grid 2 Accent 5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Medium Grid 2 Accent 6"/>
    <w:basedOn w:val="88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Medium Grid 3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Medium Grid 3 Accent 1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Medium Grid 3 Accent 2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Medium Grid 3 Accent 3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Medium Grid 3 Accent 4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Medium Grid 3 Accent 5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Medium Grid 3 Accent 6"/>
    <w:basedOn w:val="884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Dark List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Dark List Accent 1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Dark List Accent 2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Dark List Accent 3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Dark List Accent 4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Dark List Accent 5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Dark List Accent 6"/>
    <w:basedOn w:val="88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Colorful Shading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Colorful Shading Accent 1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Colorful Shading Accent 2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Colorful Shading Accent 3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Colorful Shading Accent 4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Colorful Shading Accent 5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Colorful Shading Accent 6"/>
    <w:basedOn w:val="88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Colorful List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Colorful List Accent 1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Colorful List Accent 2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Colorful List Accent 3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Colorful List Accent 4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Colorful List Accent 5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Colorful List Accent 6"/>
    <w:basedOn w:val="88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Colorful Grid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Colorful Grid Accent 1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Colorful Grid Accent 2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Colorful Grid Accent 3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Colorful Grid Accent 4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Colorful Grid Accent 5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Colorful Grid Accent 6"/>
    <w:basedOn w:val="88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3</cp:revision>
  <dcterms:created xsi:type="dcterms:W3CDTF">2013-12-23T23:15:00Z</dcterms:created>
  <dcterms:modified xsi:type="dcterms:W3CDTF">2026-10-24T02:28:38Z</dcterms:modified>
  <cp:category/>
</cp:coreProperties>
</file>