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4FC00D80">
      <w:pPr>
        <w:pStyle w:val="85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Памятка: государственные и ведомственные награды</w:t>
      </w:r>
      <w:r/>
    </w:p>
    <w:p w14:paraId="466C66A9"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1. Государственные награды</w:t>
      </w:r>
      <w:r/>
    </w:p>
    <w:p w14:paraId="36B4B97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Это высшая форма поощрения за выдающиеся заслуги перед государством — в защите Отечества, науке, культуре, труде и других сферах. Решение о вручении принимает Президент РФ на основании представлений и предложений специальной комиссии.</w:t>
      </w:r>
      <w:r/>
    </w:p>
    <w:p w14:paraId="55BBA94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Что входит в систему государственных наград:</w:t>
      </w:r>
      <w:r/>
    </w:p>
    <w:p w14:paraId="43B8AD41">
      <w:pPr>
        <w:pStyle w:val="916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Высшие звания РФ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Герой Российской Федерации, Герой Труда Российской Федерации, «Мать‑героиня».</w:t>
      </w:r>
      <w:r/>
    </w:p>
    <w:p w14:paraId="4647E51E">
      <w:pPr>
        <w:pStyle w:val="916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Ордена РФ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например, орден Святого апостола Андрея Первозванного, орден Святого Георгия, орден «За заслуги перед Отечеством», орден Мужества, орден Александра Невского, орден Суворова, орден Почёта, орден Дружбы, орден «Родительская слава».</w:t>
      </w:r>
      <w:r/>
    </w:p>
    <w:p w14:paraId="52455B3D">
      <w:pPr>
        <w:pStyle w:val="916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Знаки отличия РФ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например, Георгиевский Крест (знак отличия ордена Святого Георгия), знак «За благодеяние», знак «За наставничество», знак «За безупречную службу».</w:t>
      </w:r>
      <w:r/>
    </w:p>
    <w:p w14:paraId="2691EE65">
      <w:pPr>
        <w:pStyle w:val="916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Медали РФ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например, медаль ордена «За заслуги перед Отечеством», медаль «За отвагу», медаль «За храбрость», медали Суворова, Жукова, Ушакова, Нестерова, Пушкина, медаль «За спасение погибавших».</w:t>
      </w:r>
      <w:r/>
    </w:p>
    <w:p w14:paraId="6AA5603C">
      <w:pPr>
        <w:pStyle w:val="916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Почётные знаки РФ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например, почётный знак «За успехи в труде».</w:t>
      </w:r>
      <w:r/>
    </w:p>
    <w:p w14:paraId="6A4D674C">
      <w:pPr>
        <w:pStyle w:val="916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Почётные звания РФ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  <w:r/>
    </w:p>
    <w:p w14:paraId="32230C6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Важные правила:</w:t>
      </w:r>
      <w:r/>
    </w:p>
    <w:p w14:paraId="79E6A643">
      <w:pPr>
        <w:pStyle w:val="916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Как правило, очередное награждение за новые заслуги возможно не раньше чем через 5 лет после предыдущего. Исключение — награждение за подвиг, мужество, смелость и отвагу.</w:t>
      </w:r>
      <w:r/>
    </w:p>
    <w:p w14:paraId="0E17F3CE">
      <w:pPr>
        <w:pStyle w:val="916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Повторно одной и той же государственной наградой обычно не награждают. Исключение — вручение награды более высокой степени либо отдельных медалей за подвиг.</w:t>
      </w:r>
      <w:r/>
    </w:p>
    <w:p w14:paraId="3407A055">
      <w:pPr>
        <w:pStyle w:val="916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У орденов, медалей, знаков отличия и удостоверений к ним есть номера.</w:t>
      </w:r>
      <w:r/>
    </w:p>
    <w:p w14:paraId="5C16E8CC">
      <w:pPr>
        <w:pStyle w:val="916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Запрещены незаконное приобретение, сбыт государственных наград, а также учреждение знаков, схожих с государственными.</w:t>
      </w:r>
      <w:r/>
    </w:p>
    <w:p w14:paraId="6EB4F50D"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2. Знаки отличия (как отдельная категория)</w:t>
      </w:r>
      <w:r/>
    </w:p>
    <w:p w14:paraId="26001F2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Знаки отличия — самостоятельная категория в государственной системе, их не стоит путать с орденами. Вручают за конкретные и часто длительные заслуги: например, за многолетнюю безупречную службу или наставничество. Примеры: Георгиевский Крест, «За благодеян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ие», «За наставничество», «За безупречную службу».</w:t>
      </w:r>
      <w:r/>
    </w:p>
    <w:p w14:paraId="78534A61"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3. Ведомственные награды</w:t>
      </w:r>
      <w:r/>
    </w:p>
    <w:p w14:paraId="7DD1934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Их учреждают федеральные органы исполнительной власти (министерства, службы, агентства) для поощрения своих сотрудников, а также других граждан. У каждого ведомства свои правила, критерии и порядок награждения.</w:t>
      </w:r>
      <w:r/>
    </w:p>
    <w:p w14:paraId="50F37AA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Примеры ведомственных наград:</w:t>
      </w:r>
      <w:r/>
    </w:p>
    <w:p w14:paraId="126A827E">
      <w:pPr>
        <w:pStyle w:val="916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Медаль «За боевые отличия» (Минобороны РФ).</w:t>
      </w:r>
      <w:r/>
    </w:p>
    <w:p w14:paraId="66E96BFA">
      <w:pPr>
        <w:pStyle w:val="916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Нагрудный знак «Отличник финансовой работы», медаль С. Ю. Витте, знак «Почётный наставник» (Минфин России).</w:t>
      </w:r>
      <w:r/>
    </w:p>
    <w:p w14:paraId="50BB8F7F">
      <w:pPr>
        <w:pStyle w:val="916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Знаки и медали Росгвардии, МЧС, ФСИН, МВД, Министерства науки и высшего образования и других ведомств.</w:t>
      </w:r>
      <w:r/>
    </w:p>
    <w:p w14:paraId="3A62571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Чем отличаются от государственных:</w:t>
      </w:r>
      <w:r/>
    </w:p>
    <w:p w14:paraId="33DD2FB2">
      <w:pPr>
        <w:pStyle w:val="916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Не входят в единую государственную наградную систему.</w:t>
      </w:r>
      <w:r/>
    </w:p>
    <w:p w14:paraId="21EB57CF">
      <w:pPr>
        <w:pStyle w:val="916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Чаще отмечают профессиональные достижения и служебные отличия.</w:t>
      </w:r>
      <w:r/>
    </w:p>
    <w:p w14:paraId="46B7D825">
      <w:pPr>
        <w:pStyle w:val="916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Для гражданских лиц за ведомственные награды обычно нет федеральных льгот, но внутри ведомства могут быть свои поощрения (премии, надбавки и т. п.).</w:t>
      </w:r>
      <w:r/>
    </w:p>
    <w:p w14:paraId="27E2AC81"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Практические подсказки для работы (например, при оформлении документов или разъяснении коллегам)</w:t>
      </w:r>
      <w:r/>
    </w:p>
    <w:p w14:paraId="24EFC08B">
      <w:pPr>
        <w:pStyle w:val="916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нужно определить статус награды: высшие звания и ордена — это всегда государственные; если награда названа по ведомству (например, «Минобороны», «МЧС») — скорее всего, она ведомственная.</w:t>
      </w:r>
      <w:r/>
    </w:p>
    <w:p w14:paraId="79692710">
      <w:pPr>
        <w:pStyle w:val="916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 заполнении наградных документов важно точно указывать полное наименование награды — без сокращений и искажений.</w:t>
      </w:r>
      <w:r/>
    </w:p>
    <w:p w14:paraId="089B3148">
      <w:pPr>
        <w:pStyle w:val="916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в работе с соцкоординаторами (как на планерке) возникают вопросы по льготам и статусам: помните, что льготы и выплаты чаще привязаны именно к государственным наградам и к конкретным статусам (ветеран, Герой и т. д.), а не к ведомственным знакам.</w:t>
      </w:r>
      <w:r/>
    </w:p>
    <w:p w14:paraId="5E3B7F5F">
      <w:pPr>
        <w:pStyle w:val="85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Выплаты за военные награды</w:t>
      </w:r>
      <w:r/>
    </w:p>
    <w:p w14:paraId="33DB6FCA"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Государственные военные награды (ордена, медали РФ, Георгиевский Крест)</w:t>
      </w:r>
      <w:r/>
    </w:p>
    <w:p w14:paraId="32D502B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 награждении положена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единовременная выплата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как правило,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5 окладов месячного денежного содержания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(в расчёт идут оклад по воинской должности и оклад по воинскому званию на дату указа о награждении).</w:t>
      </w:r>
      <w:r/>
    </w:p>
    <w:p w14:paraId="102A142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Для звания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Герой Российской Федерации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(медаль «Золотая Звезда») разовая выплата выше — 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10 окладов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  <w:r/>
    </w:p>
    <w:p w14:paraId="6739A18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награждение произошло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посмертно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выплату получают члены семьи (супруг/супруга, родители, дети, иждивенцы).</w:t>
      </w:r>
      <w:r/>
    </w:p>
    <w:p w14:paraId="026CABE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Ещё один бонус: если военнослужащий получил государственную награду в период службы, при увольнении ему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увеличивают единовременное пособие на 1 оклад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  <w:r/>
    </w:p>
    <w:p w14:paraId="1B5194FC"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Ведомственные военные награды (например, медали Минобороны: «За боевые отличия», «За разминирование», «За воинскую доблесть»)</w:t>
      </w:r>
      <w:r/>
    </w:p>
    <w:p w14:paraId="34D3235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Здесь чаще дают не разовую выплату, а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ежемесячную надбавку к окладу по воинской должности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Такая надбавка обычно действует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1 год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со дня приказа о награждении.</w:t>
      </w:r>
      <w:r/>
    </w:p>
    <w:p w14:paraId="38D8EA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Примеры надбавок:</w:t>
      </w:r>
      <w:r/>
    </w:p>
    <w:p w14:paraId="0ABB970D">
      <w:pPr>
        <w:pStyle w:val="916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медаль «За боевые отличия» — 30 % оклада по должности;</w:t>
      </w:r>
      <w:r/>
    </w:p>
    <w:p w14:paraId="6795F26B">
      <w:pPr>
        <w:pStyle w:val="916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медаль «За разминирование» — 20 %;</w:t>
      </w:r>
      <w:r/>
    </w:p>
    <w:p w14:paraId="60D774BF">
      <w:pPr>
        <w:pStyle w:val="916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медаль «За воинскую доблесть» I степени — 20 %;</w:t>
      </w:r>
      <w:r/>
    </w:p>
    <w:p w14:paraId="5A9765BB">
      <w:pPr>
        <w:pStyle w:val="916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медаль «За воинскую доблесть» II степени — 10 %.</w:t>
      </w:r>
      <w:r/>
    </w:p>
    <w:p w14:paraId="1F0CDD4A">
      <w:pPr>
        <w:pStyle w:val="85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Важные нюансы</w:t>
      </w:r>
      <w:r/>
    </w:p>
    <w:p w14:paraId="281BBEDB">
      <w:pPr>
        <w:pStyle w:val="916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Пенсионные доплаты.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Сами по себе военные награды не дают автоматической ежемесячной доплаты к пенсии. Исключение — если у человека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три ордена Мужества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тогда при выходе на пенсию может быть назначено дополнительное ежемесячное материальное обеспечение (330 % от социальной пенсии).</w:t>
      </w:r>
      <w:r/>
    </w:p>
    <w:p w14:paraId="583BE9DD">
      <w:pPr>
        <w:pStyle w:val="916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Региональные меры поддержки.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В отдельных субъектах РФ для награждённых могут быть дополнительные льготы и выплаты — их нужно уточнять в соцзащите по месту жительства.</w:t>
      </w:r>
      <w:r/>
    </w:p>
    <w:p w14:paraId="447A0205">
      <w:pPr>
        <w:pStyle w:val="916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Сроки.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При посмертном награждении важно вовремя подать заявление на выплату — обычно срок обращения составляет 6 месяцев со дня издания указа.</w:t>
      </w:r>
      <w:r/>
    </w:p>
    <w:p w14:paraId="369A6013">
      <w:pPr>
        <w:pStyle w:val="85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Памятка: выплаты за посмертное награждение военнослужащего</w:t>
      </w:r>
      <w:r/>
    </w:p>
    <w:p w14:paraId="7273BF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Эту памятку можно использовать на планерке с соцкоординаторами — чтобы чётко и без путаницы объяснять семьям порядок.</w:t>
      </w:r>
      <w:r/>
    </w:p>
    <w:p w14:paraId="197CD4BB"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Кто имеет право на выплату</w:t>
      </w:r>
      <w:r/>
    </w:p>
    <w:p w14:paraId="212D629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Выплату за посмертную награду получают первостепенные члены семьи:</w:t>
      </w:r>
      <w:r/>
    </w:p>
    <w:p w14:paraId="5BECD8C7">
      <w:pPr>
        <w:pStyle w:val="916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супруг или супруга (на день гибели состоявшие в зарегистрированном браке);</w:t>
      </w:r>
      <w:r/>
    </w:p>
    <w:p w14:paraId="25B5FB3D">
      <w:pPr>
        <w:pStyle w:val="916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родители;</w:t>
      </w:r>
      <w:r/>
    </w:p>
    <w:p w14:paraId="0C5B6492">
      <w:pPr>
        <w:pStyle w:val="916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дети;</w:t>
      </w:r>
      <w:r/>
    </w:p>
    <w:p w14:paraId="1AC5F266">
      <w:pPr>
        <w:pStyle w:val="916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лица, находившиеся на иждивении погибшего на день смерти.</w:t>
      </w:r>
      <w:r/>
    </w:p>
    <w:p w14:paraId="5E55539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за выплатой обратились несколько членов семьи — сумма делится между ними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поровну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Если кто‑то из имеющих право не подал заявление, его доля распределяется между остальными обратившимися.</w:t>
      </w:r>
      <w:r/>
    </w:p>
    <w:p w14:paraId="37DEF4E6"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Размер выплаты</w:t>
      </w:r>
      <w:r/>
    </w:p>
    <w:p w14:paraId="2BC91384">
      <w:pPr>
        <w:pStyle w:val="916"/>
        <w:numPr>
          <w:ilvl w:val="0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 большинство государственных наград — 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5 окладов месячного денежного содержания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(оклад по должности + оклад по званию на дату указа о награждении).</w:t>
      </w:r>
      <w:r/>
    </w:p>
    <w:p w14:paraId="10F4D7C7">
      <w:pPr>
        <w:pStyle w:val="916"/>
        <w:numPr>
          <w:ilvl w:val="0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 звание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Герой Российской Федерации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(медаль «Золотая Звезда») — 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10 окладов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  <w:r/>
    </w:p>
    <w:p w14:paraId="296442C2"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Сроки: как всё соотносится по времени</w:t>
      </w:r>
      <w:r/>
    </w:p>
    <w:p w14:paraId="7FFB748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Здесь важно не смешивать разные сроки — они идут друг за другом:</w:t>
      </w:r>
      <w:r/>
    </w:p>
    <w:p w14:paraId="3D1AD4D7">
      <w:pPr>
        <w:pStyle w:val="916"/>
        <w:numPr>
          <w:ilvl w:val="0"/>
          <w:numId w:val="1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Признание погибшим / захоронение.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Сначала устанавливается факт гибели либо выносится судебное решение о признании погибшим.</w:t>
      </w:r>
      <w:r/>
    </w:p>
    <w:p w14:paraId="7E845E20">
      <w:pPr>
        <w:pStyle w:val="916"/>
        <w:numPr>
          <w:ilvl w:val="0"/>
          <w:numId w:val="1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Оформление документов (в т. ч. форма № 1421).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Справка по форме № 1421 подтверждает обстоятельства гибели — она нужна для ряда процедур, но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не является основанием для выплаты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Её обычно оформляют в срок до 30 дней с обращения семьи в часть плюс до 10 дней на передачу в военкомат.</w:t>
      </w:r>
      <w:r/>
    </w:p>
    <w:p w14:paraId="64C03C93">
      <w:pPr>
        <w:pStyle w:val="916"/>
        <w:numPr>
          <w:ilvl w:val="0"/>
          <w:numId w:val="1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Издание указа о посмертном награждении.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Это отдельный процесс: от момента представления к награде до подписания указа может пройти ориентировочно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6–9 месяцев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после гибели (это и есть тот ориентир, который часто называют).</w:t>
      </w:r>
      <w:r/>
    </w:p>
    <w:p w14:paraId="4561C3BE">
      <w:pPr>
        <w:pStyle w:val="916"/>
        <w:numPr>
          <w:ilvl w:val="0"/>
          <w:numId w:val="1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Срок для обращения семьи за выплатой.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 даты указа о награждении у членов семьи есть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6 месяцев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чтобы подать заявление. Если срок пропущен без уважительной причины, право на выплату утрачивается (восстановить можно только через суд).</w:t>
      </w:r>
      <w:r/>
    </w:p>
    <w:p w14:paraId="6CF0929A">
      <w:pPr>
        <w:pStyle w:val="916"/>
        <w:numPr>
          <w:ilvl w:val="0"/>
          <w:numId w:val="1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Перечисление выплаты.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После подачи заявления выплату обычно перечисляют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 течение 1 месяца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  <w:r/>
    </w:p>
    <w:p w14:paraId="35207B39"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Что важно помнить при разъяснении семьям</w:t>
      </w:r>
      <w:r/>
    </w:p>
    <w:p w14:paraId="5C5FD00B">
      <w:pPr>
        <w:pStyle w:val="916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Форма № 1421 ≠ право на выплату.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Это документ для подтверждения факта, а не для начисления поощрения.</w:t>
      </w:r>
      <w:r/>
    </w:p>
    <w:p w14:paraId="6602DA17">
      <w:pPr>
        <w:pStyle w:val="916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6–9 месяцев — это ориентир для появления указа о награде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а не срок самой выплаты.</w:t>
      </w:r>
      <w:r/>
    </w:p>
    <w:p w14:paraId="1ED6F292">
      <w:pPr>
        <w:pStyle w:val="916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6 месяцев — строгий срок для подачи заявления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семьёй после указа. Его нельзя «пропустить на всякий случай»: дальше без суда не обойтись.</w:t>
      </w:r>
      <w:r/>
    </w:p>
    <w:p w14:paraId="61114733">
      <w:pPr>
        <w:pStyle w:val="916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Выплата делится поровну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между теми, кто подал заявления. Поэтому важно информировать всех членов семьи, чтобы никто не остался без своей доли из‑за незнания.</w:t>
      </w:r>
      <w:r/>
    </w:p>
    <w:p w14:paraId="7E4E0C03"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Практический алгоритм для соцкоординатора (чтобы ничего не упустить на планерке)</w:t>
      </w:r>
      <w:r/>
    </w:p>
    <w:p w14:paraId="4F0FF0A0">
      <w:pPr>
        <w:pStyle w:val="916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Проверить статус: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есть ли уже указ о посмертном награждении. Если нет — объяснить семье ориентир 6–9 месяцев и что дальше начнётся отсчёт 6 месяцев на заявление.</w:t>
      </w:r>
      <w:r/>
    </w:p>
    <w:p w14:paraId="240391E1">
      <w:pPr>
        <w:pStyle w:val="916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Разъяснить круг получателей: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перечислить, кто считается первостепенным членом семьи, и подчеркнуть, что выплата делится между всеми заявителями.</w:t>
      </w:r>
      <w:r/>
    </w:p>
    <w:p w14:paraId="5677AAD3">
      <w:pPr>
        <w:pStyle w:val="916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Собрать заявления: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помочь семье оформить заявления от всех, кто имеет право (или хотя бы донести информацию до тех, кто не обратился).</w:t>
      </w:r>
      <w:r/>
    </w:p>
    <w:p w14:paraId="057F9FEE">
      <w:pPr>
        <w:pStyle w:val="916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Контролировать срок: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зафиксировать дату указа и следить, чтобы заявления были поданы не позднее 6 месяцев.</w:t>
      </w:r>
      <w:r/>
    </w:p>
    <w:p w14:paraId="5A009C12">
      <w:pPr>
        <w:pStyle w:val="916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Направить документы: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передать пакет в кадровую службу/военкомат и зафиксировать входящий номер.</w:t>
      </w:r>
      <w:r/>
    </w:p>
    <w:p w14:paraId="3A6777CA">
      <w:pPr>
        <w:pStyle w:val="916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Отслеживать выплату: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после подачи ожидать перечисления в течение месяца.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29639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10BE87B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09CA729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75FBA5F8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55D8E0AD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sid w:val="58A600D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nsid w:val="1EF73653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7">
    <w:nsid w:val="6C648819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8">
    <w:nsid w:val="60B49334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9">
    <w:nsid w:val="58BFA489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nsid w:val="53D4E622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11">
    <w:nsid w:val="31E360B1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nsid w:val="1BD5A455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7">
    <w:name w:val="Table Grid"/>
    <w:basedOn w:val="91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Table Grid Light"/>
    <w:basedOn w:val="91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Plain Table 1"/>
    <w:basedOn w:val="91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Plain Table 2"/>
    <w:basedOn w:val="91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Plain Table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Plain Table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Plain Table 5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1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1 Light - Accent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1 Light - Accent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1 Light - Accent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1 Light - Accent 5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1 Light - Accent 6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1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2 - Accent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2 - Accent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 - Accent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2 - Accent 5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2 - Accent 6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1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3 - Accent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3 - Accent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3 - Accent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3 - Accent 5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3 - Accent 6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"/>
    <w:basedOn w:val="9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1"/>
    <w:basedOn w:val="9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4 - Accent 2"/>
    <w:basedOn w:val="9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4 - Accent 3"/>
    <w:basedOn w:val="9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4 - Accent 4"/>
    <w:basedOn w:val="9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4 - Accent 5"/>
    <w:basedOn w:val="9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4 - Accent 6"/>
    <w:basedOn w:val="9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- Accent 1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5 Dark - Accent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5 Dark - Accent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5 Dark- Accent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5 Dark - Accent 5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5 Dark - Accent 6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1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6 Colorful - Accent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6 Colorful - Accent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6 Colorful - Accent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6 Colorful - Accent 5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6 Colorful - Accent 6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1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7 Colorful - Accent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7 Colorful - Accent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7 Colorful - Accent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7 Colorful - Accent 5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7 Colorful - Accent 6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1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1 Light - Accent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1 Light - Accent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1 Light - Accent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1 Light - Accent 5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1 Light - Accent 6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1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2 - Accent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2 - Accent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2 - Accent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2 - Accent 5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2 - Accent 6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1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3 - Accent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3 - Accent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3 - Accent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3 - Accent 5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3 - Accent 6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1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4 - Accent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4 - Accent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4 - Accent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4 - Accent 5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4 - Accent 6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1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5 Dark - Accent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5 Dark - Accent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5 Dark - Accent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5 Dark - Accent 5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5 Dark - Accent 6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1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6 Colorful - Accent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6 Colorful - Accent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6 Colorful - Accent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6 Colorful - Accent 5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6 Colorful - Accent 6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1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7 Colorful - Accent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7 Colorful - Accent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7 Colorful - Accent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7 Colorful - Accent 5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7 Colorful - Accent 6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"/>
    <w:basedOn w:val="9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1"/>
    <w:basedOn w:val="9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ned - Accent 2"/>
    <w:basedOn w:val="9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ned - Accent 3"/>
    <w:basedOn w:val="9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ned - Accent 4"/>
    <w:basedOn w:val="9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ned - Accent 5"/>
    <w:basedOn w:val="9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ned - Accent 6"/>
    <w:basedOn w:val="9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"/>
    <w:basedOn w:val="9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1"/>
    <w:basedOn w:val="9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&amp; Lined - Accent 2"/>
    <w:basedOn w:val="9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&amp; Lined - Accent 3"/>
    <w:basedOn w:val="9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&amp; Lined - Accent 4"/>
    <w:basedOn w:val="9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&amp; Lined - Accent 5"/>
    <w:basedOn w:val="9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&amp; Lined - Accent 6"/>
    <w:basedOn w:val="9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1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- Accent 2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- Accent 3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- Accent 4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- Accent 5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- Accent 6"/>
    <w:basedOn w:val="9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53">
    <w:name w:val="Heading 1"/>
    <w:basedOn w:val="912"/>
    <w:next w:val="912"/>
    <w:link w:val="86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54">
    <w:name w:val="Heading 2"/>
    <w:basedOn w:val="912"/>
    <w:next w:val="912"/>
    <w:link w:val="86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55">
    <w:name w:val="Heading 3"/>
    <w:basedOn w:val="912"/>
    <w:next w:val="912"/>
    <w:link w:val="86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56">
    <w:name w:val="Heading 4"/>
    <w:basedOn w:val="912"/>
    <w:next w:val="912"/>
    <w:link w:val="86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57">
    <w:name w:val="Heading 5"/>
    <w:basedOn w:val="912"/>
    <w:next w:val="912"/>
    <w:link w:val="86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58">
    <w:name w:val="Heading 6"/>
    <w:basedOn w:val="912"/>
    <w:next w:val="912"/>
    <w:link w:val="86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9">
    <w:name w:val="Heading 7"/>
    <w:basedOn w:val="912"/>
    <w:next w:val="912"/>
    <w:link w:val="86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60">
    <w:name w:val="Heading 8"/>
    <w:basedOn w:val="912"/>
    <w:next w:val="912"/>
    <w:link w:val="87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61">
    <w:name w:val="Heading 9"/>
    <w:basedOn w:val="912"/>
    <w:next w:val="912"/>
    <w:link w:val="87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62" w:default="1">
    <w:name w:val="Default Paragraph Font"/>
    <w:uiPriority w:val="1"/>
    <w:semiHidden/>
    <w:unhideWhenUsed/>
    <w:pPr>
      <w:pBdr/>
      <w:spacing/>
      <w:ind/>
    </w:pPr>
  </w:style>
  <w:style w:type="character" w:styleId="863">
    <w:name w:val="Heading 1 Char"/>
    <w:basedOn w:val="862"/>
    <w:link w:val="85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4">
    <w:name w:val="Heading 2 Char"/>
    <w:basedOn w:val="862"/>
    <w:link w:val="85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5">
    <w:name w:val="Heading 3 Char"/>
    <w:basedOn w:val="862"/>
    <w:link w:val="85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6">
    <w:name w:val="Heading 4 Char"/>
    <w:basedOn w:val="862"/>
    <w:link w:val="85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7">
    <w:name w:val="Heading 5 Char"/>
    <w:basedOn w:val="862"/>
    <w:link w:val="85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68">
    <w:name w:val="Heading 6 Char"/>
    <w:basedOn w:val="862"/>
    <w:link w:val="85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9">
    <w:name w:val="Heading 7 Char"/>
    <w:basedOn w:val="862"/>
    <w:link w:val="85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0">
    <w:name w:val="Heading 8 Char"/>
    <w:basedOn w:val="862"/>
    <w:link w:val="86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1">
    <w:name w:val="Heading 9 Char"/>
    <w:basedOn w:val="862"/>
    <w:link w:val="86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2">
    <w:name w:val="Title"/>
    <w:basedOn w:val="912"/>
    <w:next w:val="912"/>
    <w:link w:val="87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3">
    <w:name w:val="Title Char"/>
    <w:basedOn w:val="862"/>
    <w:link w:val="87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4">
    <w:name w:val="Subtitle"/>
    <w:basedOn w:val="912"/>
    <w:next w:val="912"/>
    <w:link w:val="87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5">
    <w:name w:val="Subtitle Char"/>
    <w:basedOn w:val="862"/>
    <w:link w:val="87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6">
    <w:name w:val="Quote"/>
    <w:basedOn w:val="912"/>
    <w:next w:val="912"/>
    <w:link w:val="87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7">
    <w:name w:val="Quote Char"/>
    <w:basedOn w:val="862"/>
    <w:link w:val="87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8">
    <w:name w:val="Intense Emphasis"/>
    <w:basedOn w:val="86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9">
    <w:name w:val="Intense Quote"/>
    <w:basedOn w:val="912"/>
    <w:next w:val="912"/>
    <w:link w:val="88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0">
    <w:name w:val="Intense Quote Char"/>
    <w:basedOn w:val="862"/>
    <w:link w:val="87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1">
    <w:name w:val="Intense Reference"/>
    <w:basedOn w:val="86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82">
    <w:name w:val="Subtle Emphasis"/>
    <w:basedOn w:val="86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3">
    <w:name w:val="Emphasis"/>
    <w:basedOn w:val="862"/>
    <w:uiPriority w:val="20"/>
    <w:qFormat/>
    <w:pPr>
      <w:pBdr/>
      <w:spacing/>
      <w:ind/>
    </w:pPr>
    <w:rPr>
      <w:i/>
      <w:iCs/>
    </w:rPr>
  </w:style>
  <w:style w:type="character" w:styleId="884">
    <w:name w:val="Strong"/>
    <w:basedOn w:val="862"/>
    <w:uiPriority w:val="22"/>
    <w:qFormat/>
    <w:pPr>
      <w:pBdr/>
      <w:spacing/>
      <w:ind/>
    </w:pPr>
    <w:rPr>
      <w:b/>
      <w:bCs/>
    </w:rPr>
  </w:style>
  <w:style w:type="character" w:styleId="885">
    <w:name w:val="Subtle Reference"/>
    <w:basedOn w:val="86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6">
    <w:name w:val="Book Title"/>
    <w:basedOn w:val="86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7">
    <w:name w:val="Header"/>
    <w:basedOn w:val="912"/>
    <w:link w:val="88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8">
    <w:name w:val="Header Char"/>
    <w:basedOn w:val="862"/>
    <w:link w:val="887"/>
    <w:uiPriority w:val="99"/>
    <w:pPr>
      <w:pBdr/>
      <w:spacing/>
      <w:ind/>
    </w:pPr>
  </w:style>
  <w:style w:type="paragraph" w:styleId="889">
    <w:name w:val="Footer"/>
    <w:basedOn w:val="912"/>
    <w:link w:val="8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90">
    <w:name w:val="Footer Char"/>
    <w:basedOn w:val="862"/>
    <w:link w:val="889"/>
    <w:uiPriority w:val="99"/>
    <w:pPr>
      <w:pBdr/>
      <w:spacing/>
      <w:ind/>
    </w:pPr>
  </w:style>
  <w:style w:type="paragraph" w:styleId="891">
    <w:name w:val="Caption"/>
    <w:basedOn w:val="912"/>
    <w:next w:val="91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2">
    <w:name w:val="footnote text"/>
    <w:basedOn w:val="912"/>
    <w:link w:val="89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3">
    <w:name w:val="Footnote Text Char"/>
    <w:basedOn w:val="862"/>
    <w:link w:val="892"/>
    <w:uiPriority w:val="99"/>
    <w:semiHidden/>
    <w:pPr>
      <w:pBdr/>
      <w:spacing/>
      <w:ind/>
    </w:pPr>
    <w:rPr>
      <w:sz w:val="20"/>
      <w:szCs w:val="20"/>
    </w:rPr>
  </w:style>
  <w:style w:type="character" w:styleId="894">
    <w:name w:val="footnote reference"/>
    <w:basedOn w:val="862"/>
    <w:uiPriority w:val="99"/>
    <w:semiHidden/>
    <w:unhideWhenUsed/>
    <w:pPr>
      <w:pBdr/>
      <w:spacing/>
      <w:ind/>
    </w:pPr>
    <w:rPr>
      <w:vertAlign w:val="superscript"/>
    </w:rPr>
  </w:style>
  <w:style w:type="paragraph" w:styleId="895">
    <w:name w:val="endnote text"/>
    <w:basedOn w:val="912"/>
    <w:link w:val="89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6">
    <w:name w:val="Endnote Text Char"/>
    <w:basedOn w:val="862"/>
    <w:link w:val="895"/>
    <w:uiPriority w:val="99"/>
    <w:semiHidden/>
    <w:pPr>
      <w:pBdr/>
      <w:spacing/>
      <w:ind/>
    </w:pPr>
    <w:rPr>
      <w:sz w:val="20"/>
      <w:szCs w:val="20"/>
    </w:rPr>
  </w:style>
  <w:style w:type="character" w:styleId="897">
    <w:name w:val="endnote reference"/>
    <w:basedOn w:val="862"/>
    <w:uiPriority w:val="99"/>
    <w:semiHidden/>
    <w:unhideWhenUsed/>
    <w:pPr>
      <w:pBdr/>
      <w:spacing/>
      <w:ind/>
    </w:pPr>
    <w:rPr>
      <w:vertAlign w:val="superscript"/>
    </w:rPr>
  </w:style>
  <w:style w:type="character" w:styleId="898">
    <w:name w:val="Hyperlink"/>
    <w:basedOn w:val="86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9">
    <w:name w:val="FollowedHyperlink"/>
    <w:basedOn w:val="86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0">
    <w:name w:val="toc 1"/>
    <w:basedOn w:val="912"/>
    <w:next w:val="912"/>
    <w:uiPriority w:val="39"/>
    <w:unhideWhenUsed/>
    <w:pPr>
      <w:pBdr/>
      <w:spacing w:after="100"/>
      <w:ind/>
    </w:pPr>
  </w:style>
  <w:style w:type="paragraph" w:styleId="901">
    <w:name w:val="toc 2"/>
    <w:basedOn w:val="912"/>
    <w:next w:val="912"/>
    <w:uiPriority w:val="39"/>
    <w:unhideWhenUsed/>
    <w:pPr>
      <w:pBdr/>
      <w:spacing w:after="100"/>
      <w:ind w:left="220"/>
    </w:pPr>
  </w:style>
  <w:style w:type="paragraph" w:styleId="902">
    <w:name w:val="toc 3"/>
    <w:basedOn w:val="912"/>
    <w:next w:val="912"/>
    <w:uiPriority w:val="39"/>
    <w:unhideWhenUsed/>
    <w:pPr>
      <w:pBdr/>
      <w:spacing w:after="100"/>
      <w:ind w:left="440"/>
    </w:pPr>
  </w:style>
  <w:style w:type="paragraph" w:styleId="903">
    <w:name w:val="toc 4"/>
    <w:basedOn w:val="912"/>
    <w:next w:val="912"/>
    <w:uiPriority w:val="39"/>
    <w:unhideWhenUsed/>
    <w:pPr>
      <w:pBdr/>
      <w:spacing w:after="100"/>
      <w:ind w:left="660"/>
    </w:pPr>
  </w:style>
  <w:style w:type="paragraph" w:styleId="904">
    <w:name w:val="toc 5"/>
    <w:basedOn w:val="912"/>
    <w:next w:val="912"/>
    <w:uiPriority w:val="39"/>
    <w:unhideWhenUsed/>
    <w:pPr>
      <w:pBdr/>
      <w:spacing w:after="100"/>
      <w:ind w:left="880"/>
    </w:pPr>
  </w:style>
  <w:style w:type="paragraph" w:styleId="905">
    <w:name w:val="toc 6"/>
    <w:basedOn w:val="912"/>
    <w:next w:val="912"/>
    <w:uiPriority w:val="39"/>
    <w:unhideWhenUsed/>
    <w:pPr>
      <w:pBdr/>
      <w:spacing w:after="100"/>
      <w:ind w:left="1100"/>
    </w:pPr>
  </w:style>
  <w:style w:type="paragraph" w:styleId="906">
    <w:name w:val="toc 7"/>
    <w:basedOn w:val="912"/>
    <w:next w:val="912"/>
    <w:uiPriority w:val="39"/>
    <w:unhideWhenUsed/>
    <w:pPr>
      <w:pBdr/>
      <w:spacing w:after="100"/>
      <w:ind w:left="1320"/>
    </w:pPr>
  </w:style>
  <w:style w:type="paragraph" w:styleId="907">
    <w:name w:val="toc 8"/>
    <w:basedOn w:val="912"/>
    <w:next w:val="912"/>
    <w:uiPriority w:val="39"/>
    <w:unhideWhenUsed/>
    <w:pPr>
      <w:pBdr/>
      <w:spacing w:after="100"/>
      <w:ind w:left="1540"/>
    </w:pPr>
  </w:style>
  <w:style w:type="paragraph" w:styleId="908">
    <w:name w:val="toc 9"/>
    <w:basedOn w:val="912"/>
    <w:next w:val="912"/>
    <w:uiPriority w:val="39"/>
    <w:unhideWhenUsed/>
    <w:pPr>
      <w:pBdr/>
      <w:spacing w:after="100"/>
      <w:ind w:left="1760"/>
    </w:pPr>
  </w:style>
  <w:style w:type="character" w:styleId="909">
    <w:name w:val="Placeholder Text"/>
    <w:basedOn w:val="862"/>
    <w:uiPriority w:val="99"/>
    <w:semiHidden/>
    <w:pPr>
      <w:pBdr/>
      <w:spacing/>
      <w:ind/>
    </w:pPr>
    <w:rPr>
      <w:color w:val="666666"/>
    </w:rPr>
  </w:style>
  <w:style w:type="paragraph" w:styleId="910">
    <w:name w:val="TOC Heading"/>
    <w:uiPriority w:val="39"/>
    <w:unhideWhenUsed/>
    <w:pPr>
      <w:pBdr/>
      <w:spacing/>
      <w:ind/>
    </w:pPr>
  </w:style>
  <w:style w:type="paragraph" w:styleId="911">
    <w:name w:val="table of figures"/>
    <w:basedOn w:val="912"/>
    <w:next w:val="912"/>
    <w:uiPriority w:val="99"/>
    <w:unhideWhenUsed/>
    <w:pPr>
      <w:pBdr/>
      <w:spacing w:after="0" w:afterAutospacing="0"/>
      <w:ind/>
    </w:pPr>
  </w:style>
  <w:style w:type="paragraph" w:styleId="912" w:default="1">
    <w:name w:val="Normal"/>
    <w:qFormat/>
    <w:pPr>
      <w:pBdr/>
      <w:spacing/>
      <w:ind/>
    </w:pPr>
  </w:style>
  <w:style w:type="table" w:styleId="91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14" w:default="1">
    <w:name w:val="No List"/>
    <w:uiPriority w:val="99"/>
    <w:semiHidden/>
    <w:unhideWhenUsed/>
    <w:pPr>
      <w:pBdr/>
      <w:spacing/>
      <w:ind/>
    </w:pPr>
  </w:style>
  <w:style w:type="paragraph" w:styleId="915">
    <w:name w:val="No Spacing"/>
    <w:basedOn w:val="912"/>
    <w:uiPriority w:val="1"/>
    <w:qFormat/>
    <w:pPr>
      <w:pBdr/>
      <w:spacing w:after="0" w:line="240" w:lineRule="auto"/>
      <w:ind/>
    </w:pPr>
  </w:style>
  <w:style w:type="paragraph" w:styleId="916">
    <w:name w:val="List Paragraph"/>
    <w:basedOn w:val="912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2026-10-19T06:47:26Z</dcterms:modified>
</cp:coreProperties>
</file>