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fill="FFFFFF"/>
          </w:tcPr>
          <w:p>
            <w:r>
              <w:rPr>
                <w:sz w:val="12"/>
              </w:rPr>
              <w:t xml:space="preserve"> </w:t>
            </w:r>
          </w:p>
        </w:tc>
        <w:tc>
          <w:tcPr>
            <w:tcW w:type="dxa" w:w="3324"/>
            <w:shd w:val="clear" w:fill="0039A6"/>
          </w:tcPr>
          <w:p>
            <w:r>
              <w:rPr>
                <w:sz w:val="12"/>
              </w:rPr>
              <w:t xml:space="preserve"> </w:t>
            </w:r>
          </w:p>
        </w:tc>
        <w:tc>
          <w:tcPr>
            <w:tcW w:type="dxa" w:w="3324"/>
            <w:shd w:val="clear" w:fill="D52B1E"/>
          </w:tcPr>
          <w:p>
            <w:r>
              <w:rPr>
                <w:sz w:val="12"/>
              </w:rPr>
              <w:t xml:space="preserve"> </w:t>
            </w:r>
          </w:p>
        </w:tc>
      </w:tr>
    </w:tbl>
    <w:p>
      <w:pPr>
        <w:jc w:val="center"/>
      </w:pPr>
      <w:r>
        <w:rPr>
          <w:rFonts w:ascii="Times New Roman" w:hAnsi="Times New Roman"/>
          <w:b/>
          <w:color w:val="1F3B73"/>
          <w:sz w:val="36"/>
        </w:rPr>
        <w:t>ПАМЯТКА</w:t>
      </w:r>
    </w:p>
    <w:p>
      <w:pPr>
        <w:jc w:val="center"/>
      </w:pPr>
      <w:r>
        <w:rPr>
          <w:rFonts w:ascii="Times New Roman" w:hAnsi="Times New Roman"/>
          <w:b/>
          <w:color w:val="1F3B73"/>
          <w:sz w:val="30"/>
        </w:rPr>
        <w:t>Жилищные субсидии военнослужащим ВС РФ</w:t>
      </w:r>
    </w:p>
    <w:p>
      <w:pPr>
        <w:jc w:val="center"/>
      </w:pPr>
      <w:r>
        <w:rPr>
          <w:rFonts w:ascii="Times New Roman" w:hAnsi="Times New Roman"/>
          <w:i/>
          <w:color w:val="444444"/>
          <w:sz w:val="21"/>
        </w:rPr>
        <w:t>Обеспечение жилыми помещениями для постоянного проживания и жилищными субсидиями. По материалам Росжилкомплекса</w:t>
      </w:r>
    </w:p>
    <w:p>
      <w:pPr>
        <w:spacing w:before="200" w:after="80"/>
      </w:pPr>
      <w:r>
        <w:rPr>
          <w:rFonts w:ascii="Times New Roman" w:hAnsi="Times New Roman"/>
          <w:b/>
          <w:color w:val="1F3B73"/>
          <w:sz w:val="26"/>
        </w:rPr>
        <w:t>1. Нормативно-правовая база</w:t>
      </w:r>
    </w:p>
    <w:p>
      <w:pPr>
        <w:pStyle w:val="ListBullet"/>
      </w:pPr>
      <w:r>
        <w:rPr>
          <w:rFonts w:ascii="Times New Roman" w:hAnsi="Times New Roman"/>
        </w:rPr>
        <w:t>Жилищный кодекс Российской Федерации (от 29.12.2004 г. № 188-ФЗ);</w:t>
      </w:r>
    </w:p>
    <w:p>
      <w:pPr>
        <w:pStyle w:val="ListBullet"/>
      </w:pPr>
      <w:r>
        <w:rPr>
          <w:rFonts w:ascii="Times New Roman" w:hAnsi="Times New Roman"/>
        </w:rPr>
        <w:t>Федеральный закон от 27.05.1998 г. № 76-ФЗ «О статусе военнослужащих»;</w:t>
      </w:r>
    </w:p>
    <w:p>
      <w:pPr>
        <w:pStyle w:val="ListBullet"/>
      </w:pPr>
      <w:r>
        <w:rPr>
          <w:rFonts w:ascii="Times New Roman" w:hAnsi="Times New Roman"/>
        </w:rPr>
        <w:t>Федеральный закон от 28.06.2022 г. № 199-ФЗ «О внесении изменений в Федеральный закон „О статусе военнослужащих“»;</w:t>
      </w:r>
    </w:p>
    <w:p>
      <w:pPr>
        <w:pStyle w:val="ListBullet"/>
      </w:pPr>
      <w:r>
        <w:rPr>
          <w:rFonts w:ascii="Times New Roman" w:hAnsi="Times New Roman"/>
        </w:rPr>
        <w:t>Федеральный закон от 30.11.2024 г. № 437-ФЗ «О внесении изменений в Федеральный закон „О статусе военнослужащих“»;</w:t>
      </w:r>
    </w:p>
    <w:p>
      <w:pPr>
        <w:pStyle w:val="ListBullet"/>
      </w:pPr>
      <w:r>
        <w:rPr>
          <w:rFonts w:ascii="Times New Roman" w:hAnsi="Times New Roman"/>
        </w:rPr>
        <w:t>постановление Правительства РФ от 30.10.2020 г. № 1768 «Об утверждении Правил признания военнослужащих — граждан РФ, проходящих военную службу по контракту, нуждающимися в жилых помещениях, формы выписки из решения о предоставлении жилого помещения…»;</w:t>
      </w:r>
    </w:p>
    <w:p>
      <w:pPr>
        <w:pStyle w:val="ListBullet"/>
      </w:pPr>
      <w:r>
        <w:rPr>
          <w:rFonts w:ascii="Times New Roman" w:hAnsi="Times New Roman"/>
        </w:rPr>
        <w:t>постановление Правительства РФ от 3.02.2014 г. № 76 «Об утверждении Правил расчёта субсидии для приобретения или строительства жилого помещения…»;</w:t>
      </w:r>
    </w:p>
    <w:p>
      <w:pPr>
        <w:pStyle w:val="ListBullet"/>
      </w:pPr>
      <w:r>
        <w:rPr>
          <w:rFonts w:ascii="Times New Roman" w:hAnsi="Times New Roman"/>
        </w:rPr>
        <w:t>постановление Правительства РФ от 24.10.2013 г. № 942 «Об утверждении правил оплаты военнослужащими — гражданами РФ и иными лицами общей площади жилого помещения, превышающей норму предоставления площади жилого помещения…»;</w:t>
      </w:r>
    </w:p>
    <w:p>
      <w:pPr>
        <w:pStyle w:val="ListBullet"/>
      </w:pPr>
      <w:r>
        <w:rPr>
          <w:rFonts w:ascii="Times New Roman" w:hAnsi="Times New Roman"/>
        </w:rPr>
        <w:t>приказ Министра обороны РФ от 19.04.2023 г. № 222 «Об организации деятельности по признанию военнослужащих — граждан РФ, проходящих военную службу по контракту в Вооружённых Силах РФ, и (или) членов их семей нуждающимися в жилых помещениях и предоставлению субсидии…»</w:t>
      </w:r>
    </w:p>
    <w:p>
      <w:pPr>
        <w:spacing w:before="200" w:after="80"/>
      </w:pPr>
      <w:r>
        <w:rPr>
          <w:rFonts w:ascii="Times New Roman" w:hAnsi="Times New Roman"/>
          <w:b/>
          <w:color w:val="1F3B73"/>
          <w:sz w:val="26"/>
        </w:rPr>
        <w:t>2. Категории военнослужащих, имеющих право на признание нуждающимися в обеспечении постоянным жильём по избранному месту жительства</w:t>
      </w:r>
    </w:p>
    <w:p>
      <w:pPr>
        <w:pStyle w:val="ListBullet"/>
      </w:pPr>
      <w:r>
        <w:rPr>
          <w:rFonts w:ascii="Times New Roman" w:hAnsi="Times New Roman"/>
        </w:rPr>
        <w:t>имеющие выслугу в календарном исчислении 20 лет и более;</w:t>
      </w:r>
    </w:p>
    <w:p>
      <w:pPr>
        <w:pStyle w:val="ListBullet"/>
      </w:pPr>
      <w:r>
        <w:rPr>
          <w:rFonts w:ascii="Times New Roman" w:hAnsi="Times New Roman"/>
        </w:rPr>
        <w:t>имеющие выслугу в календарном исчислении 10 лет и более, увольняемые по льготным основаниям:</w:t>
      </w:r>
    </w:p>
    <w:p>
      <w:pPr>
        <w:pStyle w:val="ListBullet2"/>
      </w:pPr>
      <w:r>
        <w:rPr>
          <w:rFonts w:ascii="Times New Roman" w:hAnsi="Times New Roman"/>
        </w:rPr>
        <w:t>по состоянию здоровья;</w:t>
      </w:r>
    </w:p>
    <w:p>
      <w:pPr>
        <w:pStyle w:val="ListBullet2"/>
      </w:pPr>
      <w:r>
        <w:rPr>
          <w:rFonts w:ascii="Times New Roman" w:hAnsi="Times New Roman"/>
        </w:rPr>
        <w:t>по достижению предельного возраста пребывания на военной службе;</w:t>
      </w:r>
    </w:p>
    <w:p>
      <w:pPr>
        <w:pStyle w:val="ListBullet2"/>
      </w:pPr>
      <w:r>
        <w:rPr>
          <w:rFonts w:ascii="Times New Roman" w:hAnsi="Times New Roman"/>
        </w:rPr>
        <w:t>по организационно-штатным мероприятиям;</w:t>
      </w:r>
    </w:p>
    <w:p>
      <w:pPr>
        <w:pStyle w:val="ListBullet"/>
      </w:pPr>
      <w:r>
        <w:rPr>
          <w:rFonts w:ascii="Times New Roman" w:hAnsi="Times New Roman"/>
        </w:rPr>
        <w:t>члены семей военнослужащих, погибших (умерших) в период прохождения военной службы (не являющихся участниками НИС).</w:t>
      </w:r>
    </w:p>
    <w:p>
      <w:pPr>
        <w:spacing w:before="200" w:after="80"/>
      </w:pPr>
      <w:r>
        <w:rPr>
          <w:rFonts w:ascii="Times New Roman" w:hAnsi="Times New Roman"/>
          <w:b/>
          <w:color w:val="1F3B73"/>
          <w:sz w:val="26"/>
        </w:rPr>
        <w:t>3. Перечень документов, необходимых для признания военнослужащего нуждающимся в жилом помещении</w:t>
      </w:r>
    </w:p>
    <w:p>
      <w:pPr>
        <w:pStyle w:val="ListBullet"/>
      </w:pPr>
      <w:r>
        <w:rPr>
          <w:rFonts w:ascii="Times New Roman" w:hAnsi="Times New Roman"/>
        </w:rPr>
        <w:t>заявление согласно приложению к постановлению Правительства РФ от 30.10.2020 г. № 1768;</w:t>
      </w:r>
    </w:p>
    <w:p>
      <w:pPr>
        <w:pStyle w:val="ListBullet"/>
      </w:pPr>
      <w:r>
        <w:rPr>
          <w:rFonts w:ascii="Times New Roman" w:hAnsi="Times New Roman"/>
        </w:rPr>
        <w:t>копии документов, удостоверяющих личность военнослужащего и членов его семьи (паспорта с данными о регистрации по месту жительства, свидетельства о рождении лиц, не имеющих паспортов);</w:t>
      </w:r>
    </w:p>
    <w:p>
      <w:pPr>
        <w:pStyle w:val="ListBullet"/>
      </w:pPr>
      <w:r>
        <w:rPr>
          <w:rFonts w:ascii="Times New Roman" w:hAnsi="Times New Roman"/>
        </w:rPr>
        <w:t>копии свидетельств о заключении (расторжении) брака — при нахождении в браке (расторжении брака);</w:t>
      </w:r>
    </w:p>
    <w:p>
      <w:pPr>
        <w:pStyle w:val="ListBullet"/>
      </w:pPr>
      <w:r>
        <w:rPr>
          <w:rFonts w:ascii="Times New Roman" w:hAnsi="Times New Roman"/>
        </w:rPr>
        <w:t>выписки из домовых книг (поквартирные карточки), копии финансовых лицевых счетов с мест жительства военнослужащего и членов его семьи или единый жилищный документ за последние 5 лет до подачи заявления;</w:t>
      </w:r>
    </w:p>
    <w:p>
      <w:pPr>
        <w:pStyle w:val="ListBullet"/>
      </w:pPr>
      <w:r>
        <w:rPr>
          <w:rFonts w:ascii="Times New Roman" w:hAnsi="Times New Roman"/>
        </w:rPr>
        <w:t>копии документов о праве на предоставление дополнительных социальных гарантий в части жилищного обеспечения в соответствии с законодательством РФ (при наличии).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3"/>
      </w:tblGrid>
      <w:tr>
        <w:tc>
          <w:tcPr>
            <w:tcW w:type="dxa" w:w="9973"/>
            <w:shd w:val="clear" w:fill="EEF2FA"/>
          </w:tcPr>
          <w:p>
            <w:r>
              <w:rPr>
                <w:rFonts w:ascii="Times New Roman" w:hAnsi="Times New Roman"/>
                <w:b/>
              </w:rPr>
              <w:t>Военнослужащий</w:t>
            </w:r>
            <w:r>
              <w:rPr>
                <w:rFonts w:ascii="Times New Roman" w:hAnsi="Times New Roman"/>
                <w:sz w:val="22"/>
              </w:rPr>
              <w:t xml:space="preserve"> вправе представить по собственной инициативе иные документы, необходимые для принятия его и членов семьи на учёт нуждающихся.</w:t>
            </w:r>
          </w:p>
        </w:tc>
      </w:tr>
    </w:tbl>
    <w:p>
      <w:pPr>
        <w:spacing w:before="200" w:after="80"/>
      </w:pPr>
      <w:r>
        <w:rPr>
          <w:rFonts w:ascii="Times New Roman" w:hAnsi="Times New Roman"/>
          <w:b/>
          <w:color w:val="1F3B73"/>
          <w:sz w:val="26"/>
        </w:rPr>
        <w:t>4. Вне очереди жилые помещения (жилищная субсидия) предоставляются</w:t>
      </w:r>
    </w:p>
    <w:p>
      <w:pPr>
        <w:pStyle w:val="ListBullet"/>
      </w:pPr>
      <w:r>
        <w:rPr>
          <w:rFonts w:ascii="Times New Roman" w:hAnsi="Times New Roman"/>
        </w:rPr>
        <w:t>членам семей военнослужащих, погибших (умерших) в период прохождения военной службы;</w:t>
      </w:r>
    </w:p>
    <w:p>
      <w:pPr>
        <w:pStyle w:val="ListBullet"/>
      </w:pPr>
      <w:r>
        <w:rPr>
          <w:rFonts w:ascii="Times New Roman" w:hAnsi="Times New Roman"/>
        </w:rPr>
        <w:t>удостоенным звания Героя Российской Федерации;</w:t>
      </w:r>
    </w:p>
    <w:p>
      <w:pPr>
        <w:pStyle w:val="ListBullet"/>
      </w:pPr>
      <w:r>
        <w:rPr>
          <w:rFonts w:ascii="Times New Roman" w:hAnsi="Times New Roman"/>
        </w:rPr>
        <w:t>признанным негодными к военной службе (категория «Д»), имеющим общую продолжительность военной службы 10 лет и более;</w:t>
      </w:r>
    </w:p>
    <w:p>
      <w:pPr>
        <w:pStyle w:val="ListBullet"/>
      </w:pPr>
      <w:r>
        <w:rPr>
          <w:rFonts w:ascii="Times New Roman" w:hAnsi="Times New Roman"/>
        </w:rPr>
        <w:t>признанным ограниченно годными к военной службе (категория «В»), имеющим общую продолжительность военной службы 10 лет и более — подлежащим увольнению (уволенным) с воинской должности, для которой штатом предусмотрено воинское звание до старшины или главного корабельного старшины;</w:t>
      </w:r>
    </w:p>
    <w:p>
      <w:pPr>
        <w:pStyle w:val="ListBullet"/>
      </w:pPr>
      <w:r>
        <w:rPr>
          <w:rFonts w:ascii="Times New Roman" w:hAnsi="Times New Roman"/>
        </w:rPr>
        <w:t>имеющим трёх и более детей (до достижения старшим ребёнком возраста 18 лет или возраста 23 лет при условии его обучения в организации, осуществляющей образовательную деятельность, по очной форме обучения), за исключением пасынков и падчериц;</w:t>
      </w:r>
    </w:p>
    <w:p>
      <w:pPr>
        <w:pStyle w:val="ListBullet"/>
      </w:pPr>
      <w:r>
        <w:rPr>
          <w:rFonts w:ascii="Times New Roman" w:hAnsi="Times New Roman"/>
        </w:rPr>
        <w:t>имеющим одного и более ребёнка-инвалида, проживающего совместно с военнослужащими — гражданами и гражданами, уволенными с военной службы;</w:t>
      </w:r>
    </w:p>
    <w:p>
      <w:pPr>
        <w:pStyle w:val="ListBullet"/>
      </w:pPr>
      <w:r>
        <w:rPr>
          <w:rFonts w:ascii="Times New Roman" w:hAnsi="Times New Roman"/>
        </w:rPr>
        <w:t>относящимся к иным категориям граждан, которым жилые помещения предоставляются вне очереди.</w:t>
      </w:r>
    </w:p>
    <w:p>
      <w:pPr>
        <w:spacing w:before="200" w:after="80"/>
      </w:pPr>
      <w:r>
        <w:rPr>
          <w:rFonts w:ascii="Times New Roman" w:hAnsi="Times New Roman"/>
          <w:b/>
          <w:color w:val="1F3B73"/>
          <w:sz w:val="26"/>
        </w:rPr>
        <w:t>5. Норматив общей площади предоставления жилого помещения в собственность</w:t>
      </w:r>
    </w:p>
    <w:p>
      <w:pPr>
        <w:ind w:firstLine="425"/>
      </w:pPr>
      <w:r>
        <w:rPr>
          <w:rFonts w:ascii="Times New Roman" w:hAnsi="Times New Roman"/>
        </w:rPr>
        <w:t>Норма предоставления площади предоставляемого жилого помещения составляет 18 кв. м общей площади жилого помещения на одного человека.</w:t>
      </w:r>
    </w:p>
    <w:p>
      <w:pPr>
        <w:ind w:firstLine="425"/>
      </w:pPr>
      <w:r>
        <w:rPr>
          <w:rFonts w:ascii="Times New Roman" w:hAnsi="Times New Roman"/>
        </w:rPr>
        <w:t>С учётом конструктивных и технических параметров жилое помещение может быть предоставлено общей площадью, превышающей размер общей площади до 9 кв. м; для одиноко проживающего — не более 18 кв. м.</w:t>
      </w:r>
    </w:p>
    <w:p>
      <w:pPr>
        <w:ind w:firstLine="425"/>
      </w:pPr>
      <w:r>
        <w:rPr>
          <w:rFonts w:ascii="Times New Roman" w:hAnsi="Times New Roman"/>
        </w:rPr>
        <w:t>Военнослужащий, имеющий воинское звание полковник, ему равное и выше, проходящий военную службу либо уволенный с военной службы по достижении им предельного возраста пребывания на военной службе, по состоянию здоровья или в связи с организационно-штатными мероприятиями, командир воинской части, военнослужащий, имеющий почётное звание Российской Федерации, военнослужащий — преподаватель военной профессиональной образовательной организации или военной образовательной организации высшего образования, военного учебного центра при государственной образовательной организации высшего образования, военнослужащий — научный работник, имеющий учёную степень и (или) учёное звание, при предоставлении им жилого помещения имеют право на дополнительную общую площадь жилого помещения в пределах от 15 до 25 кв. м.</w:t>
      </w:r>
    </w:p>
    <w:p>
      <w:pPr>
        <w:spacing w:before="200" w:after="80"/>
      </w:pPr>
      <w:r>
        <w:rPr>
          <w:rFonts w:ascii="Times New Roman" w:hAnsi="Times New Roman"/>
          <w:b/>
          <w:color w:val="1F3B73"/>
          <w:sz w:val="26"/>
        </w:rPr>
        <w:t>6. Расчёт нормы площади жилого помещения с учётом состава семьи военнослужащего (кв. м)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fill="1F3B73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color w:val="FFFFFF"/>
                <w:sz w:val="21"/>
              </w:rPr>
              <w:t>Состав семьи</w:t>
            </w:r>
          </w:p>
        </w:tc>
        <w:tc>
          <w:tcPr>
            <w:tcW w:type="dxa" w:w="2493"/>
            <w:shd w:val="clear" w:fill="1F3B73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color w:val="FFFFFF"/>
                <w:sz w:val="21"/>
              </w:rPr>
              <w:t>Без права на доп. площадь</w:t>
            </w:r>
          </w:p>
        </w:tc>
        <w:tc>
          <w:tcPr>
            <w:tcW w:type="dxa" w:w="2493"/>
            <w:shd w:val="clear" w:fill="1F3B73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color w:val="FFFFFF"/>
                <w:sz w:val="21"/>
              </w:rPr>
              <w:t>С правом на доп. площадь (15–25 кв. м)</w:t>
            </w:r>
          </w:p>
        </w:tc>
        <w:tc>
          <w:tcPr>
            <w:tcW w:type="dxa" w:w="2493"/>
            <w:shd w:val="clear" w:fill="1F3B73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color w:val="FFFFFF"/>
                <w:sz w:val="21"/>
              </w:rPr>
              <w:t>Тяжёлые формы хронических заболеваний, инвалиды (до 18 кв. м)</w:t>
            </w:r>
          </w:p>
        </w:tc>
      </w:tr>
      <w:tr>
        <w:tc>
          <w:tcPr>
            <w:tcW w:type="dxa" w:w="2493"/>
          </w:tcPr>
          <w:p>
            <w:pPr>
              <w:jc w:val="center"/>
            </w:pPr>
            <w:r>
              <w:rPr>
                <w:rFonts w:ascii="Times New Roman" w:hAnsi="Times New Roman"/>
                <w:sz w:val="22"/>
              </w:rPr>
              <w:t>1 человек</w:t>
            </w:r>
          </w:p>
        </w:tc>
        <w:tc>
          <w:tcPr>
            <w:tcW w:type="dxa" w:w="2493"/>
          </w:tcPr>
          <w:p>
            <w:pPr>
              <w:jc w:val="center"/>
            </w:pPr>
            <w:r>
              <w:rPr>
                <w:rFonts w:ascii="Times New Roman" w:hAnsi="Times New Roman"/>
                <w:sz w:val="22"/>
              </w:rPr>
              <w:t>18–36</w:t>
            </w:r>
          </w:p>
        </w:tc>
        <w:tc>
          <w:tcPr>
            <w:tcW w:type="dxa" w:w="2493"/>
          </w:tcPr>
          <w:p>
            <w:pPr>
              <w:jc w:val="center"/>
            </w:pPr>
            <w:r>
              <w:rPr>
                <w:rFonts w:ascii="Times New Roman" w:hAnsi="Times New Roman"/>
                <w:sz w:val="22"/>
              </w:rPr>
              <w:t>33–61</w:t>
            </w:r>
          </w:p>
        </w:tc>
        <w:tc>
          <w:tcPr>
            <w:tcW w:type="dxa" w:w="2493"/>
          </w:tcPr>
          <w:p>
            <w:pPr>
              <w:jc w:val="center"/>
            </w:pPr>
            <w:r>
              <w:rPr>
                <w:rFonts w:ascii="Times New Roman" w:hAnsi="Times New Roman"/>
                <w:sz w:val="22"/>
              </w:rPr>
              <w:t>36–54</w:t>
            </w:r>
          </w:p>
        </w:tc>
      </w:tr>
      <w:tr>
        <w:tc>
          <w:tcPr>
            <w:tcW w:type="dxa" w:w="2493"/>
            <w:shd w:val="clear" w:fill="EEF2FA"/>
          </w:tcPr>
          <w:p>
            <w:pPr>
              <w:jc w:val="center"/>
            </w:pPr>
            <w:r>
              <w:rPr>
                <w:rFonts w:ascii="Times New Roman" w:hAnsi="Times New Roman"/>
                <w:sz w:val="22"/>
              </w:rPr>
              <w:t>2 человека</w:t>
            </w:r>
          </w:p>
        </w:tc>
        <w:tc>
          <w:tcPr>
            <w:tcW w:type="dxa" w:w="2493"/>
            <w:shd w:val="clear" w:fill="EEF2FA"/>
          </w:tcPr>
          <w:p>
            <w:pPr>
              <w:jc w:val="center"/>
            </w:pPr>
            <w:r>
              <w:rPr>
                <w:rFonts w:ascii="Times New Roman" w:hAnsi="Times New Roman"/>
                <w:sz w:val="22"/>
              </w:rPr>
              <w:t>36–45</w:t>
            </w:r>
          </w:p>
        </w:tc>
        <w:tc>
          <w:tcPr>
            <w:tcW w:type="dxa" w:w="2493"/>
            <w:shd w:val="clear" w:fill="EEF2FA"/>
          </w:tcPr>
          <w:p>
            <w:pPr>
              <w:jc w:val="center"/>
            </w:pPr>
            <w:r>
              <w:rPr>
                <w:rFonts w:ascii="Times New Roman" w:hAnsi="Times New Roman"/>
                <w:sz w:val="22"/>
              </w:rPr>
              <w:t>51–70</w:t>
            </w:r>
          </w:p>
        </w:tc>
        <w:tc>
          <w:tcPr>
            <w:tcW w:type="dxa" w:w="2493"/>
            <w:shd w:val="clear" w:fill="EEF2FA"/>
          </w:tcPr>
          <w:p>
            <w:pPr>
              <w:jc w:val="center"/>
            </w:pPr>
            <w:r>
              <w:rPr>
                <w:rFonts w:ascii="Times New Roman" w:hAnsi="Times New Roman"/>
                <w:sz w:val="22"/>
              </w:rPr>
              <w:t>54–63</w:t>
            </w:r>
          </w:p>
        </w:tc>
      </w:tr>
      <w:tr>
        <w:tc>
          <w:tcPr>
            <w:tcW w:type="dxa" w:w="2493"/>
          </w:tcPr>
          <w:p>
            <w:pPr>
              <w:jc w:val="center"/>
            </w:pPr>
            <w:r>
              <w:rPr>
                <w:rFonts w:ascii="Times New Roman" w:hAnsi="Times New Roman"/>
                <w:sz w:val="22"/>
              </w:rPr>
              <w:t>3 человека</w:t>
            </w:r>
          </w:p>
        </w:tc>
        <w:tc>
          <w:tcPr>
            <w:tcW w:type="dxa" w:w="2493"/>
          </w:tcPr>
          <w:p>
            <w:pPr>
              <w:jc w:val="center"/>
            </w:pPr>
            <w:r>
              <w:rPr>
                <w:rFonts w:ascii="Times New Roman" w:hAnsi="Times New Roman"/>
                <w:sz w:val="22"/>
              </w:rPr>
              <w:t>54–63</w:t>
            </w:r>
          </w:p>
        </w:tc>
        <w:tc>
          <w:tcPr>
            <w:tcW w:type="dxa" w:w="2493"/>
          </w:tcPr>
          <w:p>
            <w:pPr>
              <w:jc w:val="center"/>
            </w:pPr>
            <w:r>
              <w:rPr>
                <w:rFonts w:ascii="Times New Roman" w:hAnsi="Times New Roman"/>
                <w:sz w:val="22"/>
              </w:rPr>
              <w:t>69–88</w:t>
            </w:r>
          </w:p>
        </w:tc>
        <w:tc>
          <w:tcPr>
            <w:tcW w:type="dxa" w:w="2493"/>
          </w:tcPr>
          <w:p>
            <w:pPr>
              <w:jc w:val="center"/>
            </w:pPr>
            <w:r>
              <w:rPr>
                <w:rFonts w:ascii="Times New Roman" w:hAnsi="Times New Roman"/>
                <w:sz w:val="22"/>
              </w:rPr>
              <w:t>72–81</w:t>
            </w:r>
          </w:p>
        </w:tc>
      </w:tr>
      <w:tr>
        <w:tc>
          <w:tcPr>
            <w:tcW w:type="dxa" w:w="2493"/>
            <w:shd w:val="clear" w:fill="EEF2FA"/>
          </w:tcPr>
          <w:p>
            <w:pPr>
              <w:jc w:val="center"/>
            </w:pPr>
            <w:r>
              <w:rPr>
                <w:rFonts w:ascii="Times New Roman" w:hAnsi="Times New Roman"/>
                <w:sz w:val="22"/>
              </w:rPr>
              <w:t>4 человека</w:t>
            </w:r>
          </w:p>
        </w:tc>
        <w:tc>
          <w:tcPr>
            <w:tcW w:type="dxa" w:w="2493"/>
            <w:shd w:val="clear" w:fill="EEF2FA"/>
          </w:tcPr>
          <w:p>
            <w:pPr>
              <w:jc w:val="center"/>
            </w:pPr>
            <w:r>
              <w:rPr>
                <w:rFonts w:ascii="Times New Roman" w:hAnsi="Times New Roman"/>
                <w:sz w:val="22"/>
              </w:rPr>
              <w:t>72–81</w:t>
            </w:r>
          </w:p>
        </w:tc>
        <w:tc>
          <w:tcPr>
            <w:tcW w:type="dxa" w:w="2493"/>
            <w:shd w:val="clear" w:fill="EEF2FA"/>
          </w:tcPr>
          <w:p>
            <w:pPr>
              <w:jc w:val="center"/>
            </w:pPr>
            <w:r>
              <w:rPr>
                <w:rFonts w:ascii="Times New Roman" w:hAnsi="Times New Roman"/>
                <w:sz w:val="22"/>
              </w:rPr>
              <w:t>87–106</w:t>
            </w:r>
          </w:p>
        </w:tc>
        <w:tc>
          <w:tcPr>
            <w:tcW w:type="dxa" w:w="2493"/>
            <w:shd w:val="clear" w:fill="EEF2FA"/>
          </w:tcPr>
          <w:p>
            <w:pPr>
              <w:jc w:val="center"/>
            </w:pPr>
            <w:r>
              <w:rPr>
                <w:rFonts w:ascii="Times New Roman" w:hAnsi="Times New Roman"/>
                <w:sz w:val="22"/>
              </w:rPr>
              <w:t>90–99</w:t>
            </w:r>
          </w:p>
        </w:tc>
      </w:tr>
    </w:tbl>
    <w:p>
      <w:pPr>
        <w:spacing w:before="200" w:after="80"/>
      </w:pPr>
      <w:r>
        <w:rPr>
          <w:rFonts w:ascii="Times New Roman" w:hAnsi="Times New Roman"/>
          <w:b/>
          <w:color w:val="1F3B73"/>
          <w:sz w:val="26"/>
        </w:rPr>
        <w:t>7. При предоставлении жилого помещения членам семьи погибшего (умершего) военнослужащего</w:t>
      </w:r>
    </w:p>
    <w:p>
      <w:pPr>
        <w:ind w:firstLine="425"/>
      </w:pPr>
      <w:r>
        <w:rPr>
          <w:rFonts w:ascii="Times New Roman" w:hAnsi="Times New Roman"/>
        </w:rPr>
        <w:t>Размер общей площади предоставляемого жилого помещения определяется исходя из состава семьи военнослужащего (гражданина, уволенного с военной службы) на дату его гибели (смерти).</w:t>
      </w:r>
    </w:p>
    <w:p>
      <w:pPr>
        <w:ind w:firstLine="425"/>
      </w:pPr>
      <w:r>
        <w:rPr>
          <w:rFonts w:ascii="Times New Roman" w:hAnsi="Times New Roman"/>
        </w:rPr>
        <w:t>Увеличение размера общей площади жилого помещения производится по одному из оснований по выбору военнослужащего.</w:t>
      </w:r>
    </w:p>
    <w:p>
      <w:pPr>
        <w:ind w:firstLine="425"/>
      </w:pPr>
      <w:r>
        <w:rPr>
          <w:rFonts w:ascii="Times New Roman" w:hAnsi="Times New Roman"/>
        </w:rPr>
        <w:t>Право на дополнительную площадь (размером не менее 15 кв. м и не более 25 кв. м) имеют:</w:t>
      </w:r>
    </w:p>
    <w:p>
      <w:pPr>
        <w:pStyle w:val="ListBullet"/>
      </w:pPr>
      <w:r>
        <w:rPr>
          <w:rFonts w:ascii="Times New Roman" w:hAnsi="Times New Roman"/>
        </w:rPr>
        <w:t>военнослужащие в воинском звании полковник, ему равное и выше, проходящие военную службу либо уволенные с военной службы по достижении ими предельного возраста пребывания на военной службе, по состоянию здоровья или в связи с организационно-штатными мероприятиями;</w:t>
      </w:r>
    </w:p>
    <w:p>
      <w:pPr>
        <w:pStyle w:val="ListBullet"/>
      </w:pPr>
      <w:r>
        <w:rPr>
          <w:rFonts w:ascii="Times New Roman" w:hAnsi="Times New Roman"/>
        </w:rPr>
        <w:t>командиры воинских частей;</w:t>
      </w:r>
    </w:p>
    <w:p>
      <w:pPr>
        <w:pStyle w:val="ListBullet"/>
      </w:pPr>
      <w:r>
        <w:rPr>
          <w:rFonts w:ascii="Times New Roman" w:hAnsi="Times New Roman"/>
        </w:rPr>
        <w:t>военнослужащие, имеющие почётное звание Российской Федерации;</w:t>
      </w:r>
    </w:p>
    <w:p>
      <w:pPr>
        <w:pStyle w:val="ListBullet"/>
      </w:pPr>
      <w:r>
        <w:rPr>
          <w:rFonts w:ascii="Times New Roman" w:hAnsi="Times New Roman"/>
        </w:rPr>
        <w:t>военнослужащие — научные работники, имеющие учёную степень и (или) учёное звание;</w:t>
      </w:r>
    </w:p>
    <w:p>
      <w:pPr>
        <w:pStyle w:val="ListBullet"/>
      </w:pPr>
      <w:r>
        <w:rPr>
          <w:rFonts w:ascii="Times New Roman" w:hAnsi="Times New Roman"/>
        </w:rPr>
        <w:t>военнослужащие — преподаватели военной профессиональной образовательной организации или военной образовательной организации высшего образования, военного учебного центра при государственной образовательной организации высшего образования.</w:t>
      </w:r>
    </w:p>
    <w:p>
      <w:pPr>
        <w:spacing w:before="200" w:after="80"/>
      </w:pPr>
      <w:r>
        <w:rPr>
          <w:rFonts w:ascii="Times New Roman" w:hAnsi="Times New Roman"/>
          <w:b/>
          <w:color w:val="1F3B73"/>
          <w:sz w:val="26"/>
        </w:rPr>
        <w:t>8. Приказ Министра обороны РФ от 19 апреля 2023 г. № 222</w:t>
      </w:r>
    </w:p>
    <w:p>
      <w:pPr>
        <w:ind w:firstLine="425"/>
      </w:pPr>
      <w:r>
        <w:rPr>
          <w:rFonts w:ascii="Times New Roman" w:hAnsi="Times New Roman"/>
        </w:rPr>
        <w:t>В соответствии с п. 3 командир (начальник, руководитель) органа военного управления, соединения, воинской части, организации ВС РФ (далее — воинская часть) обязан направить в подразделение уполномоченного учреждения надлежаще заверенную копию приказа об исключении военнослужащего из списков личного состава в течение 10 рабочих дней с даты его издания в случае:</w:t>
      </w:r>
    </w:p>
    <w:p>
      <w:pPr>
        <w:pStyle w:val="ListBullet"/>
      </w:pPr>
      <w:r>
        <w:rPr>
          <w:rFonts w:ascii="Times New Roman" w:hAnsi="Times New Roman"/>
        </w:rPr>
        <w:t>назначения военнослужащего для дальнейшего прохождения военной службы в другую воинскую часть;</w:t>
      </w:r>
    </w:p>
    <w:p>
      <w:pPr>
        <w:pStyle w:val="ListBullet"/>
      </w:pPr>
      <w:r>
        <w:rPr>
          <w:rFonts w:ascii="Times New Roman" w:hAnsi="Times New Roman"/>
        </w:rPr>
        <w:t>перевода военнослужащего для дальнейшего прохождения военной службы из ВС РФ в федеральный орган исполнительной власти или федеральный государственный орган, в которых предусмотрена военная служба;</w:t>
      </w:r>
    </w:p>
    <w:p>
      <w:pPr>
        <w:pStyle w:val="ListBullet"/>
      </w:pPr>
      <w:r>
        <w:rPr>
          <w:rFonts w:ascii="Times New Roman" w:hAnsi="Times New Roman"/>
        </w:rPr>
        <w:t>увольнения военнослужащего с военной службы в запас или отставку.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3"/>
      </w:tblGrid>
      <w:tr>
        <w:tc>
          <w:tcPr>
            <w:tcW w:type="dxa" w:w="9973"/>
            <w:shd w:val="clear" w:fill="EEF2FA"/>
          </w:tcPr>
          <w:p>
            <w:r>
              <w:rPr>
                <w:rFonts w:ascii="Times New Roman" w:hAnsi="Times New Roman"/>
                <w:b/>
              </w:rPr>
              <w:t>Памятка:</w:t>
            </w:r>
            <w:r>
              <w:rPr>
                <w:rFonts w:ascii="Times New Roman" w:hAnsi="Times New Roman"/>
                <w:sz w:val="22"/>
              </w:rPr>
              <w:t xml:space="preserve"> Военнослужащие (граждане, уволенные с военной службы), состоящие на учёте, обязаны в течение 5 рабочих дней сообщить в уполномоченный орган (учреждение) об изменении сведений в ранее представленных ими документах (п. 16 Правил, утверждённых постановлением Правительства РФ от 30.10.2020 г. № 1768).</w:t>
            </w:r>
          </w:p>
        </w:tc>
      </w:tr>
    </w:tbl>
    <w:p>
      <w:pPr>
        <w:spacing w:before="200" w:after="80"/>
      </w:pPr>
      <w:r>
        <w:rPr>
          <w:rFonts w:ascii="Times New Roman" w:hAnsi="Times New Roman"/>
          <w:b/>
          <w:color w:val="1F3B73"/>
          <w:sz w:val="26"/>
        </w:rPr>
        <w:t>9. Предоставление жилищной субсидии. Расчёт субсидии</w:t>
      </w:r>
    </w:p>
    <w:p>
      <w:pPr>
        <w:ind w:firstLine="425"/>
      </w:pPr>
      <w:r>
        <w:rPr>
          <w:rFonts w:ascii="Times New Roman" w:hAnsi="Times New Roman"/>
        </w:rPr>
        <w:t>Расчёт субсидии осуществляется по формуле:</w:t>
      </w:r>
    </w:p>
    <w:p>
      <w:pPr>
        <w:jc w:val="center"/>
      </w:pPr>
      <w:r>
        <w:rPr>
          <w:rFonts w:ascii="Times New Roman" w:hAnsi="Times New Roman"/>
          <w:b/>
          <w:sz w:val="28"/>
        </w:rPr>
        <w:t>Р = Н × С × Кс</w:t>
      </w:r>
    </w:p>
    <w:p>
      <w:pPr>
        <w:ind w:firstLine="425"/>
      </w:pPr>
      <w:r>
        <w:rPr>
          <w:rFonts w:ascii="Times New Roman" w:hAnsi="Times New Roman"/>
        </w:rPr>
        <w:t>Н — норматив общей площади жилого помещения;</w:t>
      </w:r>
    </w:p>
    <w:p>
      <w:pPr>
        <w:ind w:firstLine="425"/>
      </w:pPr>
      <w:r>
        <w:rPr>
          <w:rFonts w:ascii="Times New Roman" w:hAnsi="Times New Roman"/>
        </w:rPr>
        <w:t>С — норматив стоимости 1 кв. м общей площади жилого помещения;</w:t>
      </w:r>
    </w:p>
    <w:p>
      <w:pPr>
        <w:ind w:firstLine="425"/>
      </w:pPr>
      <w:r>
        <w:rPr>
          <w:rFonts w:ascii="Times New Roman" w:hAnsi="Times New Roman"/>
        </w:rPr>
        <w:t>Кс — поправочный коэффициент с учётом общей продолжительности военной службы.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3"/>
      </w:tblGrid>
      <w:tr>
        <w:tc>
          <w:tcPr>
            <w:tcW w:type="dxa" w:w="9973"/>
            <w:shd w:val="clear" w:fill="EEF2FA"/>
          </w:tcPr>
          <w:p>
            <w:r>
              <w:rPr>
                <w:rFonts w:ascii="Times New Roman" w:hAnsi="Times New Roman"/>
                <w:b/>
              </w:rPr>
              <w:t>Нормативы площади:</w:t>
            </w:r>
            <w:r>
              <w:rPr>
                <w:rFonts w:ascii="Times New Roman" w:hAnsi="Times New Roman"/>
                <w:sz w:val="22"/>
              </w:rPr>
              <w:t xml:space="preserve"> Норматив общей площади жилого помещения при обеспечении жилищной субсидией: 33 кв. м — для одиноко проживающего гражданина; 42 кв. м — на семью из двух человек; 18 кв. м — на каждого члена семьи, состоящей из трёх человек и более.</w:t>
            </w:r>
          </w:p>
        </w:tc>
      </w:tr>
    </w:tbl>
    <w:p>
      <w:r>
        <w:rPr>
          <w:rFonts w:ascii="Times New Roman" w:hAnsi="Times New Roman"/>
          <w:i/>
          <w:color w:val="666666"/>
          <w:sz w:val="18"/>
        </w:rPr>
        <w:t>Актуально на 2026 год. Памятка носит справочный характер и не заменяет законодательство.</w:t>
      </w:r>
    </w:p>
    <w:sectPr w:rsidR="00FC693F" w:rsidRPr="0006063C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