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bin" ContentType="application/vnd.openxmlformats-officedocument.oleObject"/>
  <Default Extension="rels" ContentType="application/vnd.openxmlformats-package.relationships+xml"/>
  <Default Extension="jpe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notes.xml" ContentType="application/vnd.openxmlformats-officedocument.wordprocessingml.footnote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numbering.xml" ContentType="application/vnd.openxmlformats-officedocument.wordprocessingml.numbering+xml"/>
  <Override PartName="/word/endnotes.xml" ContentType="application/vnd.openxmlformats-officedocument.wordprocessingml.endnot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tbl>
      <w:tblPr>
        <w:tblW w:w="0" w:type="auto"/>
        <w:tblBorders/>
        <w:tblLayout w:type="fixed"/>
        <w:tblLook w:val="04A0" w:firstRow="1" w:lastRow="0" w:firstColumn="1" w:lastColumn="0" w:noHBand="0" w:noVBand="1"/>
      </w:tblPr>
      <w:tblGrid>
        <w:gridCol w:w="3213"/>
        <w:gridCol w:w="3213"/>
        <w:gridCol w:w="3213"/>
      </w:tblGrid>
      <w:tr>
        <w:trPr>
          <w:trHeight w:val="255" w:hRule="exact"/>
        </w:trPr>
        <w:tc>
          <w:tcPr>
            <w:shd w:val="clear" w:color="auto" w:fill="ffffff"/>
            <w:tcBorders/>
            <w:tcW w:w="3214" w:type="dxa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  <w:tc>
          <w:tcPr>
            <w:shd w:val="clear" w:color="auto" w:fill="0039a6"/>
            <w:tcBorders/>
            <w:tcW w:w="3214" w:type="dxa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  <w:tc>
          <w:tcPr>
            <w:shd w:val="clear" w:color="auto" w:fill="d52b1e"/>
            <w:tcBorders/>
            <w:tcW w:w="3214" w:type="dxa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</w:tr>
    </w:tbl>
    <w:p>
      <w:pPr>
        <w:pBdr/>
        <w:spacing w:after="40" w:before="0"/>
        <w:ind/>
        <w:rPr/>
      </w:pPr>
      <w:r/>
      <w:r/>
    </w:p>
    <w:p>
      <w:pPr>
        <w:pBdr/>
        <w:spacing w:after="80" w:before="0"/>
        <w:ind/>
        <w:jc w:val="center"/>
        <w:rPr/>
      </w:pPr>
      <w:r>
        <w:rPr>
          <w:rFonts w:ascii="Times New Roman" w:hAnsi="Times New Roman" w:eastAsia="Times New Roman"/>
          <w:b/>
          <w:i w:val="0"/>
          <w:color w:val="1f3864"/>
          <w:sz w:val="36"/>
        </w:rPr>
        <w:t xml:space="preserve">ФЕДЕРАЛЬНЫЙ ЗАКОН</w:t>
      </w:r>
      <w:r/>
    </w:p>
    <w:p>
      <w:pPr>
        <w:pBdr/>
        <w:spacing w:after="200" w:before="0"/>
        <w:ind/>
        <w:jc w:val="center"/>
        <w:rPr/>
      </w:pPr>
      <w:r>
        <w:rPr>
          <w:rFonts w:ascii="Times New Roman" w:hAnsi="Times New Roman" w:eastAsia="Times New Roman"/>
          <w:b/>
          <w:i w:val="0"/>
          <w:sz w:val="26"/>
        </w:rPr>
        <w:t xml:space="preserve">от 7 ноября 2011 года № 306-ФЗ</w:t>
      </w:r>
      <w:r/>
    </w:p>
    <w:p>
      <w:pPr>
        <w:pBdr/>
        <w:spacing w:after="200" w:before="0"/>
        <w:ind/>
        <w:jc w:val="center"/>
        <w:rPr/>
      </w:pPr>
      <w:r>
        <w:rPr>
          <w:rFonts w:ascii="Times New Roman" w:hAnsi="Times New Roman" w:eastAsia="Times New Roman"/>
          <w:b w:val="0"/>
          <w:i/>
          <w:sz w:val="28"/>
        </w:rPr>
        <w:t xml:space="preserve">О денежном довольствии военнослужащих и предоставлении им отдельных выплат</w:t>
      </w:r>
      <w:r/>
    </w:p>
    <w:p>
      <w:pPr>
        <w:pBdr/>
        <w:spacing w:after="40" w:before="0"/>
        <w:ind/>
        <w:jc w:val="center"/>
        <w:rPr/>
      </w:pPr>
      <w:r>
        <w:rPr>
          <w:rFonts w:ascii="Times New Roman" w:hAnsi="Times New Roman" w:eastAsia="Times New Roman"/>
          <w:b w:val="0"/>
          <w:i/>
          <w:sz w:val="22"/>
        </w:rPr>
        <w:t xml:space="preserve">Принят Государственной Думой 21 октября 2011 года</w:t>
      </w:r>
      <w:r/>
    </w:p>
    <w:p>
      <w:pPr>
        <w:pBdr/>
        <w:spacing w:after="280" w:before="0"/>
        <w:ind/>
        <w:jc w:val="center"/>
        <w:rPr/>
      </w:pPr>
      <w:r>
        <w:rPr>
          <w:rFonts w:ascii="Times New Roman" w:hAnsi="Times New Roman" w:eastAsia="Times New Roman"/>
          <w:b w:val="0"/>
          <w:i/>
          <w:sz w:val="22"/>
        </w:rPr>
        <w:t xml:space="preserve">Одобрен Советом Федерации 26 октября 2011 года</w:t>
      </w:r>
      <w:r/>
    </w:p>
    <w:p>
      <w:pPr>
        <w:pBdr/>
        <w:spacing w:after="120" w:before="0"/>
        <w:ind w:firstLine="425"/>
        <w:jc w:val="center"/>
        <w:rPr/>
      </w:pPr>
      <w:r>
        <w:rPr>
          <w:rFonts w:ascii="Times New Roman" w:hAnsi="Times New Roman" w:eastAsia="Times New Roman"/>
          <w:b w:val="0"/>
          <w:i w:val="0"/>
          <w:sz w:val="24"/>
        </w:rPr>
        <w:t xml:space="preserve">ФЕДЕРАЛЬНЫЙ ЗАКОН</w:t>
      </w:r>
      <w:r/>
    </w:p>
    <w:p>
      <w:pPr>
        <w:pBdr/>
        <w:spacing w:after="120" w:before="0"/>
        <w:ind w:firstLine="425"/>
        <w:jc w:val="center"/>
        <w:rPr/>
      </w:pPr>
      <w:r>
        <w:rPr>
          <w:rFonts w:ascii="Times New Roman" w:hAnsi="Times New Roman" w:eastAsia="Times New Roman"/>
          <w:b w:val="0"/>
          <w:i w:val="0"/>
          <w:sz w:val="24"/>
        </w:rPr>
        <w:t xml:space="preserve">О ДЕНЕЖНОМ ДОВОЛЬСТВИИ ВОЕННОСЛУЖАЩИХ И ПРЕДОСТАВЛЕНИИ ИМ ОТДЕЛЬНЫХ ВЫПЛАТ</w:t>
      </w:r>
      <w:r/>
    </w:p>
    <w:p>
      <w:pPr>
        <w:pBdr/>
        <w:spacing w:after="120" w:before="0"/>
        <w:ind w:firstLine="425"/>
        <w:jc w:val="both"/>
        <w:rPr/>
      </w:pPr>
      <w:r>
        <w:rPr>
          <w:rFonts w:ascii="Times New Roman" w:hAnsi="Times New Roman" w:eastAsia="Times New Roman"/>
          <w:b w:val="0"/>
          <w:i w:val="0"/>
          <w:sz w:val="24"/>
        </w:rPr>
        <w:t xml:space="preserve">Принят Государственной Думой 21 октября 2011 года</w:t>
      </w:r>
      <w:r/>
    </w:p>
    <w:p>
      <w:pPr>
        <w:pBdr/>
        <w:spacing w:after="120" w:before="0"/>
        <w:ind w:firstLine="425"/>
        <w:jc w:val="both"/>
        <w:rPr/>
      </w:pPr>
      <w:r>
        <w:rPr>
          <w:rFonts w:ascii="Times New Roman" w:hAnsi="Times New Roman" w:eastAsia="Times New Roman"/>
          <w:b w:val="0"/>
          <w:i w:val="0"/>
          <w:sz w:val="24"/>
        </w:rPr>
        <w:t xml:space="preserve">Одобрен Советом Федерации 26 октября 2011 года</w:t>
      </w:r>
      <w:r/>
    </w:p>
    <w:p>
      <w:pPr>
        <w:pBdr/>
        <w:spacing w:after="120" w:before="240"/>
        <w:ind/>
        <w:rPr/>
      </w:pPr>
      <w:r>
        <w:rPr>
          <w:rFonts w:ascii="Times New Roman" w:hAnsi="Times New Roman" w:eastAsia="Times New Roman"/>
          <w:b/>
          <w:i w:val="0"/>
          <w:color w:val="1f3864"/>
          <w:sz w:val="26"/>
        </w:rPr>
        <w:t xml:space="preserve">Статья 1. Предмет регулирования настоящего Федерального закона</w:t>
      </w:r>
      <w:r/>
    </w:p>
    <w:p>
      <w:pPr>
        <w:pBdr/>
        <w:spacing w:after="120" w:before="0"/>
        <w:ind/>
        <w:jc w:val="both"/>
        <w:rPr/>
      </w:pPr>
      <w:r>
        <w:rPr>
          <w:rFonts w:ascii="Times New Roman" w:hAnsi="Times New Roman" w:eastAsia="Times New Roman"/>
          <w:b w:val="0"/>
          <w:i w:val="0"/>
          <w:sz w:val="24"/>
        </w:rPr>
        <w:t xml:space="preserve">Настоящий Федеральный закон устанавливает д</w:t>
      </w:r>
      <w:r>
        <w:rPr>
          <w:rFonts w:ascii="Times New Roman" w:hAnsi="Times New Roman" w:eastAsia="Times New Roman"/>
          <w:b w:val="0"/>
          <w:i w:val="0"/>
          <w:sz w:val="24"/>
        </w:rPr>
        <w:t xml:space="preserve">енежное довольствие военнослужащих и отдельные выплаты военнослужащим с учетом занимаемых воинских должностей, присвоенных воинских званий, общей продолжительности военной службы, выполняемых задач, а также условий и порядка прохождения ими военной службы.</w:t>
      </w:r>
      <w:r/>
    </w:p>
    <w:p>
      <w:pPr>
        <w:pBdr/>
        <w:spacing w:after="120" w:before="240"/>
        <w:ind/>
        <w:rPr/>
      </w:pPr>
      <w:r>
        <w:rPr>
          <w:rFonts w:ascii="Times New Roman" w:hAnsi="Times New Roman" w:eastAsia="Times New Roman"/>
          <w:b/>
          <w:i w:val="0"/>
          <w:color w:val="1f3864"/>
          <w:sz w:val="26"/>
        </w:rPr>
        <w:t xml:space="preserve">Статья 2. Денежное довольствие военнослужащих</w:t>
      </w:r>
      <w:r/>
    </w:p>
    <w:p>
      <w:pPr>
        <w:pBdr/>
        <w:spacing w:after="120" w:before="0"/>
        <w:ind/>
        <w:jc w:val="both"/>
        <w:rPr/>
      </w:pPr>
      <w:r>
        <w:rPr>
          <w:rFonts w:ascii="Times New Roman" w:hAnsi="Times New Roman" w:eastAsia="Times New Roman"/>
          <w:b w:val="0"/>
          <w:i w:val="0"/>
          <w:sz w:val="24"/>
        </w:rPr>
        <w:t xml:space="preserve">1. Денежное довольствие военнослужащих, проходящих военную службу по контракту, является основным средством их материального обеспечения и стимулирования исполнения обязанностей военной службы.</w:t>
      </w:r>
      <w:r/>
    </w:p>
    <w:p>
      <w:pPr>
        <w:pBdr/>
        <w:spacing w:after="120" w:before="0"/>
        <w:ind w:firstLine="425"/>
        <w:jc w:val="both"/>
        <w:rPr/>
      </w:pPr>
      <w:r>
        <w:rPr>
          <w:rFonts w:ascii="Times New Roman" w:hAnsi="Times New Roman" w:eastAsia="Times New Roman"/>
          <w:b w:val="0"/>
          <w:i w:val="0"/>
          <w:sz w:val="24"/>
        </w:rPr>
        <w:t xml:space="preserve">2. Денежное довольствие военнослужащего, проходящего военную службу по контракту, состоит из месячного оклада в соответствии с присвоенным воинским званием (далее - оклад по воинскому званию) и месячного оклада в соответствии с зан</w:t>
      </w:r>
      <w:r>
        <w:rPr>
          <w:rFonts w:ascii="Times New Roman" w:hAnsi="Times New Roman" w:eastAsia="Times New Roman"/>
          <w:b w:val="0"/>
          <w:i w:val="0"/>
          <w:sz w:val="24"/>
        </w:rPr>
        <w:t xml:space="preserve">имаемой воинской должностью (далее - оклад по воинской должности), которые составляют оклад месячного денежного содержания военнослужащего (далее - оклад денежного содержания), и из ежемесячных и иных дополнительных выплат (далее - дополнительные выплаты).</w:t>
      </w:r>
      <w:r/>
    </w:p>
    <w:p>
      <w:pPr>
        <w:pBdr/>
        <w:spacing w:after="120" w:before="0"/>
        <w:ind w:firstLine="425"/>
        <w:jc w:val="both"/>
        <w:rPr/>
      </w:pPr>
      <w:r>
        <w:rPr>
          <w:rFonts w:ascii="Times New Roman" w:hAnsi="Times New Roman" w:eastAsia="Times New Roman"/>
          <w:b w:val="0"/>
          <w:i w:val="0"/>
          <w:sz w:val="24"/>
        </w:rPr>
        <w:t xml:space="preserve">3. Денежное довольствие военнослужащего, проходящего военную службу по призыву, состоит из оклада по воинской должности и дополнительных выплат.</w:t>
      </w:r>
      <w:r/>
    </w:p>
    <w:p>
      <w:pPr>
        <w:pBdr/>
        <w:spacing w:after="120" w:before="0"/>
        <w:ind w:firstLine="425"/>
        <w:jc w:val="both"/>
        <w:rPr/>
      </w:pPr>
      <w:r>
        <w:rPr>
          <w:rFonts w:ascii="Times New Roman" w:hAnsi="Times New Roman" w:eastAsia="Times New Roman"/>
          <w:b w:val="0"/>
          <w:i w:val="0"/>
          <w:sz w:val="24"/>
        </w:rPr>
        <w:t xml:space="preserve">4. Единые размеры окладов по воинским званиям устанавливаются Правительством Российской Федерации.</w:t>
      </w:r>
      <w:r/>
    </w:p>
    <w:p>
      <w:pPr>
        <w:pBdr/>
        <w:spacing w:after="120" w:before="0"/>
        <w:ind w:firstLine="425"/>
        <w:jc w:val="both"/>
        <w:rPr/>
      </w:pPr>
      <w:r>
        <w:rPr>
          <w:rFonts w:ascii="Times New Roman" w:hAnsi="Times New Roman" w:eastAsia="Times New Roman"/>
          <w:b w:val="0"/>
          <w:i w:val="0"/>
          <w:sz w:val="24"/>
        </w:rPr>
        <w:t xml:space="preserve">5. Размеры окладов по типовым воинс</w:t>
      </w:r>
      <w:r>
        <w:rPr>
          <w:rFonts w:ascii="Times New Roman" w:hAnsi="Times New Roman" w:eastAsia="Times New Roman"/>
          <w:b w:val="0"/>
          <w:i w:val="0"/>
          <w:sz w:val="24"/>
        </w:rPr>
        <w:t xml:space="preserve">ким должностям военнослужащих, проходящих военную службу по контракту, устанавливаются Правительством Российской Федерации по представлению руководителей федеральных органов исполнительной власти, в которых федеральным законом предусмотрена военная служба.</w:t>
      </w:r>
      <w:r/>
    </w:p>
    <w:p>
      <w:pPr>
        <w:pBdr/>
        <w:spacing w:after="120" w:before="0"/>
        <w:ind w:firstLine="425"/>
        <w:jc w:val="both"/>
        <w:rPr/>
      </w:pPr>
      <w:r>
        <w:rPr>
          <w:rFonts w:ascii="Times New Roman" w:hAnsi="Times New Roman" w:eastAsia="Times New Roman"/>
          <w:b w:val="0"/>
          <w:i w:val="0"/>
          <w:sz w:val="24"/>
        </w:rPr>
        <w:t xml:space="preserve">6. Размеры окладов по типовым вои</w:t>
      </w:r>
      <w:r>
        <w:rPr>
          <w:rFonts w:ascii="Times New Roman" w:hAnsi="Times New Roman" w:eastAsia="Times New Roman"/>
          <w:b w:val="0"/>
          <w:i w:val="0"/>
          <w:sz w:val="24"/>
        </w:rPr>
        <w:t xml:space="preserve">нским должностям военнослужащих, проходящих военную службу по призыву, устанавливаются Правительством Российской Федерации по представлению руководителей федеральных органов исполнительной власти, в которых федеральным законом предусмотрена военная служба.</w:t>
      </w:r>
      <w:r/>
    </w:p>
    <w:p>
      <w:pPr>
        <w:pBdr/>
        <w:spacing w:after="120" w:before="0"/>
        <w:ind w:firstLine="425"/>
        <w:jc w:val="both"/>
        <w:rPr/>
      </w:pPr>
      <w:r>
        <w:rPr>
          <w:rFonts w:ascii="Times New Roman" w:hAnsi="Times New Roman" w:eastAsia="Times New Roman"/>
          <w:b w:val="0"/>
          <w:i w:val="0"/>
          <w:sz w:val="24"/>
        </w:rPr>
        <w:t xml:space="preserve">7. Размер</w:t>
      </w:r>
      <w:r>
        <w:rPr>
          <w:rFonts w:ascii="Times New Roman" w:hAnsi="Times New Roman" w:eastAsia="Times New Roman"/>
          <w:b w:val="0"/>
          <w:i w:val="0"/>
          <w:sz w:val="24"/>
        </w:rPr>
        <w:t xml:space="preserve">ы окладов по нетиповым воинским должностям военнослужащих устанавливаются руководителями федеральных органов исполнительной власти, в которых федеральным законом предусмотрена военная служба, применительно к размерам окладов по типовым воинским должностям.</w:t>
      </w:r>
      <w:r/>
    </w:p>
    <w:p>
      <w:pPr>
        <w:pBdr/>
        <w:spacing w:after="120" w:before="0"/>
        <w:ind w:firstLine="425"/>
        <w:jc w:val="both"/>
        <w:rPr/>
      </w:pPr>
      <w:r>
        <w:rPr>
          <w:rFonts w:ascii="Times New Roman" w:hAnsi="Times New Roman" w:eastAsia="Times New Roman"/>
          <w:b w:val="0"/>
          <w:i w:val="0"/>
          <w:sz w:val="24"/>
        </w:rPr>
        <w:t xml:space="preserve">8. Военнослужащим, проходящим военную службу по призыву на территориях и (или) в условиях, указанных в части 23 настоящей статьи, устанавливаются </w:t>
      </w:r>
      <w:r>
        <w:rPr>
          <w:rFonts w:ascii="Times New Roman" w:hAnsi="Times New Roman" w:eastAsia="Times New Roman"/>
          <w:b w:val="0"/>
          <w:i w:val="0"/>
          <w:sz w:val="24"/>
        </w:rPr>
        <w:t xml:space="preserve">размеры окладов по воинским должностям и дополнительных выплат по нормам, предусмотренным для военнослужащих, проходящих военную службу по контракту на соответствующих воинских должностях, подлежащих замещению солдатами, матросами, сержантами и старшинами.</w:t>
      </w:r>
      <w:r/>
    </w:p>
    <w:p>
      <w:pPr>
        <w:pBdr/>
        <w:spacing w:after="120" w:before="0"/>
        <w:ind w:firstLine="425"/>
        <w:jc w:val="both"/>
        <w:rPr/>
      </w:pPr>
      <w:r>
        <w:rPr>
          <w:rFonts w:ascii="Times New Roman" w:hAnsi="Times New Roman" w:eastAsia="Times New Roman"/>
          <w:b w:val="0"/>
          <w:i w:val="0"/>
          <w:sz w:val="24"/>
        </w:rPr>
        <w:t xml:space="preserve">9. Размеры окладов по воинским должностям и окладов по воинским званиям ежегодно увеличиваются (индексируются) с учетом уровня инфляции (потреби</w:t>
      </w:r>
      <w:r>
        <w:rPr>
          <w:rFonts w:ascii="Times New Roman" w:hAnsi="Times New Roman" w:eastAsia="Times New Roman"/>
          <w:b w:val="0"/>
          <w:i w:val="0"/>
          <w:sz w:val="24"/>
        </w:rPr>
        <w:t xml:space="preserve">тельских цен) в соответствии с федеральным законом о федеральном бюджете на очередной финансовый год и плановый период. Решение об увеличении (индексации) размеров окладов денежного содержания военнослужащих принимается Правительством Российской Федерации.</w:t>
      </w:r>
      <w:r/>
    </w:p>
    <w:p>
      <w:pPr>
        <w:pBdr/>
        <w:spacing w:after="120" w:before="0"/>
        <w:ind w:firstLine="425"/>
        <w:jc w:val="both"/>
        <w:rPr/>
      </w:pPr>
      <w:r>
        <w:rPr>
          <w:rFonts w:ascii="Times New Roman" w:hAnsi="Times New Roman" w:eastAsia="Times New Roman"/>
          <w:b w:val="0"/>
          <w:i w:val="0"/>
          <w:sz w:val="24"/>
        </w:rPr>
        <w:t xml:space="preserve">10. Военнослужащему, проходящему военную службу по призыву, устанавливаются следующие дополнительные выплаты:</w:t>
      </w:r>
      <w:r/>
    </w:p>
    <w:p>
      <w:pPr>
        <w:pBdr/>
        <w:spacing w:after="120" w:before="0"/>
        <w:ind w:firstLine="425"/>
        <w:jc w:val="both"/>
        <w:rPr/>
      </w:pPr>
      <w:r>
        <w:rPr>
          <w:rFonts w:ascii="Times New Roman" w:hAnsi="Times New Roman" w:eastAsia="Times New Roman"/>
          <w:b w:val="0"/>
          <w:i w:val="0"/>
          <w:sz w:val="24"/>
        </w:rPr>
        <w:t xml:space="preserve">1) ежемесячная надбавка за классную квалификацию (квалификационную категорию, квалификационный класс);</w:t>
      </w:r>
      <w:r/>
    </w:p>
    <w:p>
      <w:pPr>
        <w:pBdr/>
        <w:spacing w:after="120" w:before="0"/>
        <w:ind w:firstLine="425"/>
        <w:jc w:val="both"/>
        <w:rPr/>
      </w:pPr>
      <w:r>
        <w:rPr>
          <w:rFonts w:ascii="Times New Roman" w:hAnsi="Times New Roman" w:eastAsia="Times New Roman"/>
          <w:b w:val="0"/>
          <w:i w:val="0"/>
          <w:sz w:val="24"/>
        </w:rPr>
        <w:t xml:space="preserve">2) ежемесячная надбавка за особые условия военной службы;</w:t>
      </w:r>
      <w:r/>
    </w:p>
    <w:p>
      <w:pPr>
        <w:pBdr/>
        <w:spacing w:after="120" w:before="0"/>
        <w:ind w:firstLine="425"/>
        <w:jc w:val="both"/>
        <w:rPr/>
      </w:pPr>
      <w:r>
        <w:rPr>
          <w:rFonts w:ascii="Times New Roman" w:hAnsi="Times New Roman" w:eastAsia="Times New Roman"/>
          <w:b w:val="0"/>
          <w:i w:val="0"/>
          <w:sz w:val="24"/>
        </w:rPr>
        <w:t xml:space="preserve">3) ежемесячная надбавка за выполнение задач, непосредственно связанных с риском для жизни и здоровья в мирное время;</w:t>
      </w:r>
      <w:r/>
    </w:p>
    <w:p>
      <w:pPr>
        <w:pBdr/>
        <w:spacing w:after="120" w:before="0"/>
        <w:ind w:firstLine="425"/>
        <w:jc w:val="both"/>
        <w:rPr/>
      </w:pPr>
      <w:r>
        <w:rPr>
          <w:rFonts w:ascii="Times New Roman" w:hAnsi="Times New Roman" w:eastAsia="Times New Roman"/>
          <w:b w:val="0"/>
          <w:i w:val="0"/>
          <w:sz w:val="24"/>
        </w:rPr>
        <w:t xml:space="preserve">4) ежемесячная надбавка за работу со сведениями, составляющими государственную тайну.</w:t>
      </w:r>
      <w:r/>
    </w:p>
    <w:p>
      <w:pPr>
        <w:pBdr/>
        <w:spacing w:after="120" w:before="0"/>
        <w:ind w:firstLine="425"/>
        <w:jc w:val="both"/>
        <w:rPr/>
      </w:pPr>
      <w:r>
        <w:rPr>
          <w:rFonts w:ascii="Times New Roman" w:hAnsi="Times New Roman" w:eastAsia="Times New Roman"/>
          <w:b w:val="0"/>
          <w:i w:val="0"/>
          <w:sz w:val="24"/>
        </w:rPr>
        <w:t xml:space="preserve">11.</w:t>
      </w:r>
      <w:r>
        <w:rPr>
          <w:rFonts w:ascii="Times New Roman" w:hAnsi="Times New Roman" w:eastAsia="Times New Roman"/>
          <w:b w:val="0"/>
          <w:i w:val="0"/>
          <w:sz w:val="24"/>
        </w:rPr>
        <w:t xml:space="preserve"> Размеры дополнительных выплат, указанных в части 10 настоящей статьи, устанавливаются Правительством Российской Федерации по представлению руководителей федеральных органов исполнительной власти, в которых федеральным законом предусмотрена военная служба.</w:t>
      </w:r>
      <w:r/>
    </w:p>
    <w:p>
      <w:pPr>
        <w:pBdr/>
        <w:spacing w:after="120" w:before="0"/>
        <w:ind w:firstLine="425"/>
        <w:jc w:val="both"/>
        <w:rPr/>
      </w:pPr>
      <w:r>
        <w:rPr>
          <w:rFonts w:ascii="Times New Roman" w:hAnsi="Times New Roman" w:eastAsia="Times New Roman"/>
          <w:b w:val="0"/>
          <w:i w:val="0"/>
          <w:sz w:val="24"/>
        </w:rPr>
        <w:t xml:space="preserve">12. Военнослужащему, проходящему военную службу по контракту, устанавливаются дополнительные выплаты, предусмотренные частями 13, 15, 17 - 24 и 26 (в части выплаты в иностранной валюте) настоящей статьи.</w:t>
      </w:r>
      <w:r/>
    </w:p>
    <w:p>
      <w:pPr>
        <w:pBdr/>
        <w:spacing w:after="120" w:before="0"/>
        <w:ind w:firstLine="425"/>
        <w:jc w:val="both"/>
        <w:rPr/>
      </w:pPr>
      <w:r>
        <w:rPr>
          <w:rFonts w:ascii="Times New Roman" w:hAnsi="Times New Roman" w:eastAsia="Times New Roman"/>
          <w:b w:val="0"/>
          <w:i w:val="0"/>
          <w:sz w:val="24"/>
        </w:rPr>
        <w:t xml:space="preserve">13. Ежемесячная надбавка за выслугу лет к окладу денежного содержания устанавливается в следующих размерах:</w:t>
      </w:r>
      <w:r/>
    </w:p>
    <w:p>
      <w:pPr>
        <w:pBdr/>
        <w:spacing w:after="120" w:before="0"/>
        <w:ind w:firstLine="425"/>
        <w:jc w:val="both"/>
        <w:rPr/>
      </w:pPr>
      <w:r>
        <w:rPr>
          <w:rFonts w:ascii="Times New Roman" w:hAnsi="Times New Roman" w:eastAsia="Times New Roman"/>
          <w:b w:val="0"/>
          <w:i w:val="0"/>
          <w:sz w:val="24"/>
        </w:rPr>
        <w:t xml:space="preserve">1) 10 процентов - при выслуге от 2 до 5 лет;</w:t>
      </w:r>
      <w:r/>
    </w:p>
    <w:p>
      <w:pPr>
        <w:pBdr/>
        <w:spacing w:after="120" w:before="0"/>
        <w:ind w:firstLine="425"/>
        <w:jc w:val="both"/>
        <w:rPr/>
      </w:pPr>
      <w:r>
        <w:rPr>
          <w:rFonts w:ascii="Times New Roman" w:hAnsi="Times New Roman" w:eastAsia="Times New Roman"/>
          <w:b w:val="0"/>
          <w:i w:val="0"/>
          <w:sz w:val="24"/>
        </w:rPr>
        <w:t xml:space="preserve">2) 15 процентов - при выслуге от 5 до 10 лет;</w:t>
      </w:r>
      <w:r/>
    </w:p>
    <w:p>
      <w:pPr>
        <w:pBdr/>
        <w:spacing w:after="120" w:before="0"/>
        <w:ind w:firstLine="425"/>
        <w:jc w:val="both"/>
        <w:rPr/>
      </w:pPr>
      <w:r>
        <w:rPr>
          <w:rFonts w:ascii="Times New Roman" w:hAnsi="Times New Roman" w:eastAsia="Times New Roman"/>
          <w:b w:val="0"/>
          <w:i w:val="0"/>
          <w:sz w:val="24"/>
        </w:rPr>
        <w:t xml:space="preserve">3) 20 процентов - при выслуге от 10 до 15 лет;</w:t>
      </w:r>
      <w:r/>
    </w:p>
    <w:p>
      <w:pPr>
        <w:pBdr/>
        <w:spacing w:after="120" w:before="0"/>
        <w:ind w:firstLine="425"/>
        <w:jc w:val="both"/>
        <w:rPr/>
      </w:pPr>
      <w:r>
        <w:rPr>
          <w:rFonts w:ascii="Times New Roman" w:hAnsi="Times New Roman" w:eastAsia="Times New Roman"/>
          <w:b w:val="0"/>
          <w:i w:val="0"/>
          <w:sz w:val="24"/>
        </w:rPr>
        <w:t xml:space="preserve">4) 25 процентов - при выслуге от 15 до 20 лет;</w:t>
      </w:r>
      <w:r/>
    </w:p>
    <w:p>
      <w:pPr>
        <w:pBdr/>
        <w:spacing w:after="120" w:before="0"/>
        <w:ind w:firstLine="425"/>
        <w:jc w:val="both"/>
        <w:rPr/>
      </w:pPr>
      <w:r>
        <w:rPr>
          <w:rFonts w:ascii="Times New Roman" w:hAnsi="Times New Roman" w:eastAsia="Times New Roman"/>
          <w:b w:val="0"/>
          <w:i w:val="0"/>
          <w:sz w:val="24"/>
        </w:rPr>
        <w:t xml:space="preserve">5) 30 процентов - при выслуге от 20 до 25 лет;</w:t>
      </w:r>
      <w:r/>
    </w:p>
    <w:p>
      <w:pPr>
        <w:pBdr/>
        <w:spacing w:after="120" w:before="0"/>
        <w:ind w:firstLine="425"/>
        <w:jc w:val="both"/>
        <w:rPr/>
      </w:pPr>
      <w:r>
        <w:rPr>
          <w:rFonts w:ascii="Times New Roman" w:hAnsi="Times New Roman" w:eastAsia="Times New Roman"/>
          <w:b w:val="0"/>
          <w:i w:val="0"/>
          <w:sz w:val="24"/>
        </w:rPr>
        <w:t xml:space="preserve">6) 40 процентов - при выслуге 25 лет и более.</w:t>
      </w:r>
      <w:r/>
    </w:p>
    <w:p>
      <w:pPr>
        <w:pBdr/>
        <w:spacing w:after="120" w:before="0"/>
        <w:ind w:firstLine="425"/>
        <w:jc w:val="both"/>
        <w:rPr/>
      </w:pPr>
      <w:r>
        <w:rPr>
          <w:rFonts w:ascii="Times New Roman" w:hAnsi="Times New Roman" w:eastAsia="Times New Roman"/>
          <w:b w:val="0"/>
          <w:i w:val="0"/>
          <w:sz w:val="24"/>
        </w:rPr>
        <w:t xml:space="preserve">14. Правила исчисления выслуги лет для назначения ежемесячной надбавки, указанной в части 13 настоящей статьи, определяются Правительством Российской Федерации.</w:t>
      </w:r>
      <w:r/>
    </w:p>
    <w:p>
      <w:pPr>
        <w:pBdr/>
        <w:spacing w:after="120" w:before="0"/>
        <w:ind w:firstLine="425"/>
        <w:jc w:val="both"/>
        <w:rPr/>
      </w:pPr>
      <w:r>
        <w:rPr>
          <w:rFonts w:ascii="Times New Roman" w:hAnsi="Times New Roman" w:eastAsia="Times New Roman"/>
          <w:b w:val="0"/>
          <w:i w:val="0"/>
          <w:sz w:val="24"/>
        </w:rPr>
        <w:t xml:space="preserve">15. Ежемесячная надбавка за классную квалификацию (квалификационную категорию, квалификационный класс) к окладу по воинской должности устанавливается в следующих размерах:</w:t>
      </w:r>
      <w:r/>
    </w:p>
    <w:p>
      <w:pPr>
        <w:pBdr/>
        <w:spacing w:after="120" w:before="0"/>
        <w:ind w:firstLine="425"/>
        <w:jc w:val="both"/>
        <w:rPr/>
      </w:pPr>
      <w:r>
        <w:rPr>
          <w:rFonts w:ascii="Times New Roman" w:hAnsi="Times New Roman" w:eastAsia="Times New Roman"/>
          <w:b w:val="0"/>
          <w:i w:val="0"/>
          <w:sz w:val="24"/>
        </w:rPr>
        <w:t xml:space="preserve">1) 5 процентов - за третий класс (квалификационную категорию);</w:t>
      </w:r>
      <w:r/>
    </w:p>
    <w:p>
      <w:pPr>
        <w:pBdr/>
        <w:spacing w:after="120" w:before="0"/>
        <w:ind w:firstLine="425"/>
        <w:jc w:val="both"/>
        <w:rPr/>
      </w:pPr>
      <w:r>
        <w:rPr>
          <w:rFonts w:ascii="Times New Roman" w:hAnsi="Times New Roman" w:eastAsia="Times New Roman"/>
          <w:b w:val="0"/>
          <w:i w:val="0"/>
          <w:sz w:val="24"/>
        </w:rPr>
        <w:t xml:space="preserve">2) 10 процентов - за второй класс (квалификационную категорию);</w:t>
      </w:r>
      <w:r/>
    </w:p>
    <w:p>
      <w:pPr>
        <w:pBdr/>
        <w:spacing w:after="120" w:before="0"/>
        <w:ind w:firstLine="425"/>
        <w:jc w:val="both"/>
        <w:rPr/>
      </w:pPr>
      <w:r>
        <w:rPr>
          <w:rFonts w:ascii="Times New Roman" w:hAnsi="Times New Roman" w:eastAsia="Times New Roman"/>
          <w:b w:val="0"/>
          <w:i w:val="0"/>
          <w:sz w:val="24"/>
        </w:rPr>
        <w:t xml:space="preserve">3) 20 процентов - за первый класс (квалификационную категорию);</w:t>
      </w:r>
      <w:r/>
    </w:p>
    <w:p>
      <w:pPr>
        <w:pBdr/>
        <w:spacing w:after="120" w:before="0"/>
        <w:ind w:firstLine="425"/>
        <w:jc w:val="both"/>
        <w:rPr/>
      </w:pPr>
      <w:r>
        <w:rPr>
          <w:rFonts w:ascii="Times New Roman" w:hAnsi="Times New Roman" w:eastAsia="Times New Roman"/>
          <w:b w:val="0"/>
          <w:i w:val="0"/>
          <w:sz w:val="24"/>
        </w:rPr>
        <w:t xml:space="preserve">4) 30 процентов - за класс мастера (квалификационную категорию).</w:t>
      </w:r>
      <w:r/>
    </w:p>
    <w:p>
      <w:pPr>
        <w:pBdr/>
        <w:spacing w:after="120" w:before="0"/>
        <w:ind w:firstLine="425"/>
        <w:jc w:val="both"/>
        <w:rPr/>
      </w:pPr>
      <w:r>
        <w:rPr>
          <w:rFonts w:ascii="Times New Roman" w:hAnsi="Times New Roman" w:eastAsia="Times New Roman"/>
          <w:b w:val="0"/>
          <w:i w:val="0"/>
          <w:sz w:val="24"/>
        </w:rPr>
        <w:t xml:space="preserve">16. Правила присвоения, изменения и лишения классной квалификации (квалификационной категории, квалификационного класса) определяются Правительством Российской Федерации, если иное не предусмотрено федеральными законами.</w:t>
      </w:r>
      <w:r/>
    </w:p>
    <w:p>
      <w:pPr>
        <w:pBdr/>
        <w:spacing w:after="120" w:before="0"/>
        <w:ind w:firstLine="425"/>
        <w:jc w:val="both"/>
        <w:rPr/>
      </w:pPr>
      <w:r>
        <w:rPr>
          <w:rFonts w:ascii="Times New Roman" w:hAnsi="Times New Roman" w:eastAsia="Times New Roman"/>
          <w:b w:val="0"/>
          <w:i w:val="0"/>
          <w:sz w:val="24"/>
        </w:rPr>
        <w:t xml:space="preserve">17. Ежемесячная надбавка за работу со сведениями, составляющими государственную тайну, устанав</w:t>
      </w:r>
      <w:r>
        <w:rPr>
          <w:rFonts w:ascii="Times New Roman" w:hAnsi="Times New Roman" w:eastAsia="Times New Roman"/>
          <w:b w:val="0"/>
          <w:i w:val="0"/>
          <w:sz w:val="24"/>
        </w:rPr>
        <w:t xml:space="preserve">ливается в размере до 65 процентов оклада по воинской должности. Размер указанной ежемесячной надбавки в зависимости от степени секретности сведений, к которым военнослужащий имеет доступ, и правила ее выплаты определяются Президентом Российской Федерации.</w:t>
      </w:r>
      <w:r/>
    </w:p>
    <w:p>
      <w:pPr>
        <w:pBdr/>
        <w:spacing w:after="120" w:before="0"/>
        <w:ind w:firstLine="425"/>
        <w:jc w:val="both"/>
        <w:rPr/>
      </w:pPr>
      <w:r>
        <w:rPr>
          <w:rFonts w:ascii="Times New Roman" w:hAnsi="Times New Roman" w:eastAsia="Times New Roman"/>
          <w:b w:val="0"/>
          <w:i w:val="0"/>
          <w:sz w:val="24"/>
        </w:rPr>
        <w:t xml:space="preserve">18. Ежемесячная надбавка за особые условия военной службы устанавли</w:t>
      </w:r>
      <w:r>
        <w:rPr>
          <w:rFonts w:ascii="Times New Roman" w:hAnsi="Times New Roman" w:eastAsia="Times New Roman"/>
          <w:b w:val="0"/>
          <w:i w:val="0"/>
          <w:sz w:val="24"/>
        </w:rPr>
        <w:t xml:space="preserve">вается в размере до 100 процентов оклада по воинской должности. Правила выплаты указанной ежемесячной надбавки определяются Правительством Российской Федерации в зависимости от условий прохождения военной службы соответствующими категориями военнослужащих.</w:t>
      </w:r>
      <w:r/>
    </w:p>
    <w:p>
      <w:pPr>
        <w:pBdr/>
        <w:spacing w:after="120" w:before="0"/>
        <w:ind w:firstLine="425"/>
        <w:jc w:val="both"/>
        <w:rPr/>
      </w:pPr>
      <w:r>
        <w:rPr>
          <w:rFonts w:ascii="Times New Roman" w:hAnsi="Times New Roman" w:eastAsia="Times New Roman"/>
          <w:b w:val="0"/>
          <w:i w:val="0"/>
          <w:sz w:val="24"/>
        </w:rPr>
        <w:t xml:space="preserve">19. Ежемесячная надбавка за выполнение задач, непосредственно связанных с риском для жизни и здоровья в мирное время, устанавливается в размере до 100 процентов оклада по воинской должности.</w:t>
      </w:r>
      <w:r>
        <w:rPr>
          <w:rFonts w:ascii="Times New Roman" w:hAnsi="Times New Roman" w:eastAsia="Times New Roman"/>
          <w:b w:val="0"/>
          <w:i w:val="0"/>
          <w:sz w:val="24"/>
        </w:rPr>
        <w:t xml:space="preserve"> Правила выплаты указанной ежемесячной надбавки определяются Правительством Российской Федерации в зависимости от условий выполнения задач, непосредственно связанных с риском для жизни и здоровья в мирное время, соответствующими категориями военнослужащих.</w:t>
      </w:r>
      <w:r/>
    </w:p>
    <w:p>
      <w:pPr>
        <w:pBdr/>
        <w:spacing w:after="120" w:before="0"/>
        <w:ind w:firstLine="425"/>
        <w:jc w:val="both"/>
        <w:rPr/>
      </w:pPr>
      <w:r>
        <w:rPr>
          <w:rFonts w:ascii="Times New Roman" w:hAnsi="Times New Roman" w:eastAsia="Times New Roman"/>
          <w:b w:val="0"/>
          <w:i w:val="0"/>
          <w:sz w:val="24"/>
        </w:rPr>
        <w:t xml:space="preserve">20. Ежемесячная надбавка за особые достижения в службе уста</w:t>
      </w:r>
      <w:r>
        <w:rPr>
          <w:rFonts w:ascii="Times New Roman" w:hAnsi="Times New Roman" w:eastAsia="Times New Roman"/>
          <w:b w:val="0"/>
          <w:i w:val="0"/>
          <w:sz w:val="24"/>
        </w:rPr>
        <w:t xml:space="preserve">навливается в размере до 100 процентов оклада по воинской должности. Правила выплаты указанной ежемесячной надбавки определяются руководителем федерального органа исполнительной власти, осуществляющего функции по выработке и реализации государственной поли</w:t>
      </w:r>
      <w:r>
        <w:rPr>
          <w:rFonts w:ascii="Times New Roman" w:hAnsi="Times New Roman" w:eastAsia="Times New Roman"/>
          <w:b w:val="0"/>
          <w:i w:val="0"/>
          <w:sz w:val="24"/>
        </w:rPr>
        <w:t xml:space="preserve">тики, нормативно-правовому регулированию в области обороны, руководителями иных федеральных органов исполнительной власти, в которых федеральным законом предусмотрена военная служба, - в отношении военнослужащих, проходящих военную службу по контракту соот</w:t>
      </w:r>
      <w:r>
        <w:rPr>
          <w:rFonts w:ascii="Times New Roman" w:hAnsi="Times New Roman" w:eastAsia="Times New Roman"/>
          <w:b w:val="0"/>
          <w:i w:val="0"/>
          <w:sz w:val="24"/>
        </w:rPr>
        <w:t xml:space="preserve">ветственно в Вооруженных Силах Российской Федерации, других войсках, воинских формированиях и органах, Генеральным прокурором Российской Федерации - в отношении военнослужащих органов военной прокуратуры, Председателем Следственного комитета Российской Фед</w:t>
      </w:r>
      <w:r>
        <w:rPr>
          <w:rFonts w:ascii="Times New Roman" w:hAnsi="Times New Roman" w:eastAsia="Times New Roman"/>
          <w:b w:val="0"/>
          <w:i w:val="0"/>
          <w:sz w:val="24"/>
        </w:rPr>
        <w:t xml:space="preserve">ерации - в отношении военнослужащих военных следственных органов Следственного комитета Российской Федерации. В пределах бюджетных ассигнований, выделенных из федерального бюджета на денежное довольствие военнослужащих, руководители федеральных органов исп</w:t>
      </w:r>
      <w:r>
        <w:rPr>
          <w:rFonts w:ascii="Times New Roman" w:hAnsi="Times New Roman" w:eastAsia="Times New Roman"/>
          <w:b w:val="0"/>
          <w:i w:val="0"/>
          <w:sz w:val="24"/>
        </w:rPr>
        <w:t xml:space="preserve">олнительной власти, в которых федеральным законом предусмотрена военная служба, Генеральный прокурор Российской Федерации и Председатель Следственного комитета Российской Федерации имеют право устанавливать указанную ежемесячную надбавку в большем размере.</w:t>
      </w:r>
      <w:r/>
    </w:p>
    <w:p>
      <w:pPr>
        <w:pBdr/>
        <w:spacing w:after="120" w:before="0"/>
        <w:ind w:firstLine="425"/>
        <w:jc w:val="both"/>
        <w:rPr/>
      </w:pPr>
      <w:r>
        <w:rPr>
          <w:rFonts w:ascii="Times New Roman" w:hAnsi="Times New Roman" w:eastAsia="Times New Roman"/>
          <w:b w:val="0"/>
          <w:i w:val="0"/>
          <w:sz w:val="24"/>
        </w:rPr>
        <w:t xml:space="preserve">21. Премия за добросовестное и эффективное исполнение должностных обязанностей устанавливается в размере до трех окладов денежного содержания (в расчете на год). Правила выплаты указанной премии определяются Правительством Российской Федерации.</w:t>
      </w:r>
      <w:r/>
    </w:p>
    <w:p>
      <w:pPr>
        <w:pBdr/>
        <w:spacing w:after="120" w:before="0"/>
        <w:ind w:firstLine="425"/>
        <w:jc w:val="both"/>
        <w:rPr/>
      </w:pPr>
      <w:r>
        <w:rPr>
          <w:rFonts w:ascii="Times New Roman" w:hAnsi="Times New Roman" w:eastAsia="Times New Roman"/>
          <w:b w:val="0"/>
          <w:i w:val="0"/>
          <w:sz w:val="24"/>
        </w:rPr>
        <w:t xml:space="preserve">22. Ежегодная материальная помощь устанавливается в размере не менее одного оклада денежного содержания. Правила выплаты ежегодной материальной помощи определяются Правительством Российской Федерации.</w:t>
      </w:r>
      <w:r/>
    </w:p>
    <w:p>
      <w:pPr>
        <w:pBdr/>
        <w:spacing w:after="120" w:before="0"/>
        <w:ind w:firstLine="425"/>
        <w:jc w:val="both"/>
        <w:rPr/>
      </w:pPr>
      <w:r>
        <w:rPr>
          <w:rFonts w:ascii="Times New Roman" w:hAnsi="Times New Roman" w:eastAsia="Times New Roman"/>
          <w:b w:val="0"/>
          <w:i w:val="0"/>
          <w:sz w:val="24"/>
        </w:rPr>
        <w:t xml:space="preserve">23. Военнослужащим, проходящим военную службу в воинских формированиях, дислоцированных за пределами территории Российской Федерации, а также военнослужащим, выполняющим задачи в условиях чрезвычайного положения, при вооруженных конфликтах</w:t>
      </w:r>
      <w:r>
        <w:rPr>
          <w:rFonts w:ascii="Times New Roman" w:hAnsi="Times New Roman" w:eastAsia="Times New Roman"/>
          <w:b w:val="0"/>
          <w:i w:val="0"/>
          <w:sz w:val="24"/>
        </w:rPr>
        <w:t xml:space="preserve">, участвующим в контртеррористических операциях и обеспечивающим правопорядок и общественную безопасность на отдельных территориях Российской Федерации, устанавливаются повышающие коэффициенты или надбавки к денежному довольствию. Правила выплаты денежного</w:t>
      </w:r>
      <w:r>
        <w:rPr>
          <w:rFonts w:ascii="Times New Roman" w:hAnsi="Times New Roman" w:eastAsia="Times New Roman"/>
          <w:b w:val="0"/>
          <w:i w:val="0"/>
          <w:sz w:val="24"/>
        </w:rPr>
        <w:t xml:space="preserve"> довольствия, размеры повышающих коэффициентов и надбавок к денежному довольствию на соответствующих территориях устанавливаются Правительством Российской Федерации в зависимости от мест дислокации воинских формирований и выполняемых военнослужащими задач.</w:t>
      </w:r>
      <w:r/>
    </w:p>
    <w:p>
      <w:pPr>
        <w:pBdr/>
        <w:spacing w:after="120" w:before="0"/>
        <w:ind w:firstLine="425"/>
        <w:jc w:val="both"/>
        <w:rPr/>
      </w:pPr>
      <w:r>
        <w:rPr>
          <w:rFonts w:ascii="Times New Roman" w:hAnsi="Times New Roman" w:eastAsia="Times New Roman"/>
          <w:b w:val="0"/>
          <w:i w:val="0"/>
          <w:sz w:val="24"/>
        </w:rPr>
        <w:t xml:space="preserve">24. Военнослужащим, проходящим военную службу по контракту в районах Крайнего Севера и приравненных к ним местностях, а также в</w:t>
      </w:r>
      <w:r>
        <w:rPr>
          <w:rFonts w:ascii="Times New Roman" w:hAnsi="Times New Roman" w:eastAsia="Times New Roman"/>
          <w:b w:val="0"/>
          <w:i w:val="0"/>
          <w:sz w:val="24"/>
        </w:rPr>
        <w:t xml:space="preserve"> других местностях с неблагоприятными климатическими или экологическими условиями, в том числе в отдаленных местностях, высокогорных районах, пустынных и безводных местностях, денежное довольствие выплачивается с учетом коэффициентов и процентных надбавок.</w:t>
      </w:r>
      <w:r/>
    </w:p>
    <w:p>
      <w:pPr>
        <w:pBdr/>
        <w:spacing w:after="120" w:before="0"/>
        <w:ind w:firstLine="425"/>
        <w:jc w:val="both"/>
        <w:rPr/>
      </w:pPr>
      <w:r>
        <w:rPr>
          <w:rFonts w:ascii="Times New Roman" w:hAnsi="Times New Roman" w:eastAsia="Times New Roman"/>
          <w:b w:val="0"/>
          <w:i w:val="0"/>
          <w:sz w:val="24"/>
        </w:rPr>
        <w:t xml:space="preserve">25. Размеры коэффициентов и процентных надбавок, указанных в част</w:t>
      </w:r>
      <w:r>
        <w:rPr>
          <w:rFonts w:ascii="Times New Roman" w:hAnsi="Times New Roman" w:eastAsia="Times New Roman"/>
          <w:b w:val="0"/>
          <w:i w:val="0"/>
          <w:sz w:val="24"/>
        </w:rPr>
        <w:t xml:space="preserve">и 24 настоящей статьи, и порядок их применения для расчета денежного довольствия военнослужащих устанавливаются Правительством Российской Федерации. При этом в состав денежного довольствия, на которое начисляются коэффициенты и процентные надбавки, входят:</w:t>
      </w:r>
      <w:r/>
    </w:p>
    <w:p>
      <w:pPr>
        <w:pBdr/>
        <w:spacing w:after="120" w:before="0"/>
        <w:ind w:firstLine="425"/>
        <w:jc w:val="both"/>
        <w:rPr/>
      </w:pPr>
      <w:r>
        <w:rPr>
          <w:rFonts w:ascii="Times New Roman" w:hAnsi="Times New Roman" w:eastAsia="Times New Roman"/>
          <w:b w:val="0"/>
          <w:i w:val="0"/>
          <w:sz w:val="24"/>
        </w:rPr>
        <w:t xml:space="preserve">1) оклад по воинскому званию;</w:t>
      </w:r>
      <w:r/>
    </w:p>
    <w:p>
      <w:pPr>
        <w:pBdr/>
        <w:spacing w:after="120" w:before="0"/>
        <w:ind w:firstLine="425"/>
        <w:jc w:val="both"/>
        <w:rPr/>
      </w:pPr>
      <w:r>
        <w:rPr>
          <w:rFonts w:ascii="Times New Roman" w:hAnsi="Times New Roman" w:eastAsia="Times New Roman"/>
          <w:b w:val="0"/>
          <w:i w:val="0"/>
          <w:sz w:val="24"/>
        </w:rPr>
        <w:t xml:space="preserve">2) оклад по воинской должности;</w:t>
      </w:r>
      <w:r/>
    </w:p>
    <w:p>
      <w:pPr>
        <w:pBdr/>
        <w:spacing w:after="120" w:before="0"/>
        <w:ind w:firstLine="425"/>
        <w:jc w:val="both"/>
        <w:rPr/>
      </w:pPr>
      <w:r>
        <w:rPr>
          <w:rFonts w:ascii="Times New Roman" w:hAnsi="Times New Roman" w:eastAsia="Times New Roman"/>
          <w:b w:val="0"/>
          <w:i w:val="0"/>
          <w:sz w:val="24"/>
        </w:rPr>
        <w:t xml:space="preserve">3) ежемесячная надбавка за выслугу лет;</w:t>
      </w:r>
      <w:r/>
    </w:p>
    <w:p>
      <w:pPr>
        <w:pBdr/>
        <w:spacing w:after="120" w:before="0"/>
        <w:ind w:firstLine="425"/>
        <w:jc w:val="both"/>
        <w:rPr/>
      </w:pPr>
      <w:r>
        <w:rPr>
          <w:rFonts w:ascii="Times New Roman" w:hAnsi="Times New Roman" w:eastAsia="Times New Roman"/>
          <w:b w:val="0"/>
          <w:i w:val="0"/>
          <w:sz w:val="24"/>
        </w:rPr>
        <w:t xml:space="preserve">4) ежемесячная надбавка за классную квалификацию (квалификационную категорию, квалификационный класс);</w:t>
      </w:r>
      <w:r/>
    </w:p>
    <w:p>
      <w:pPr>
        <w:pBdr/>
        <w:spacing w:after="120" w:before="0"/>
        <w:ind w:firstLine="425"/>
        <w:jc w:val="both"/>
        <w:rPr/>
      </w:pPr>
      <w:r>
        <w:rPr>
          <w:rFonts w:ascii="Times New Roman" w:hAnsi="Times New Roman" w:eastAsia="Times New Roman"/>
          <w:b w:val="0"/>
          <w:i w:val="0"/>
          <w:sz w:val="24"/>
        </w:rPr>
        <w:t xml:space="preserve">5) ежемесячная надбавка за работу со сведениями, составляющими государственную тайну;</w:t>
      </w:r>
      <w:r/>
    </w:p>
    <w:p>
      <w:pPr>
        <w:pBdr/>
        <w:spacing w:after="120" w:before="0"/>
        <w:ind w:firstLine="425"/>
        <w:jc w:val="both"/>
        <w:rPr/>
      </w:pPr>
      <w:r>
        <w:rPr>
          <w:rFonts w:ascii="Times New Roman" w:hAnsi="Times New Roman" w:eastAsia="Times New Roman"/>
          <w:b w:val="0"/>
          <w:i w:val="0"/>
          <w:sz w:val="24"/>
        </w:rPr>
        <w:t xml:space="preserve">6) ежемесячная надбавка за особые условия военной службы.</w:t>
      </w:r>
      <w:r/>
    </w:p>
    <w:p>
      <w:pPr>
        <w:pBdr/>
        <w:spacing w:after="120" w:before="0"/>
        <w:ind w:firstLine="425"/>
        <w:jc w:val="both"/>
        <w:rPr/>
      </w:pPr>
      <w:r>
        <w:rPr>
          <w:rFonts w:ascii="Times New Roman" w:hAnsi="Times New Roman" w:eastAsia="Times New Roman"/>
          <w:b w:val="0"/>
          <w:i w:val="0"/>
          <w:sz w:val="24"/>
        </w:rPr>
        <w:t xml:space="preserve">26. Военнослужащим, проходящим военную службу по контракту за пределами территории Российской Федерации</w:t>
      </w:r>
      <w:r>
        <w:rPr>
          <w:rFonts w:ascii="Times New Roman" w:hAnsi="Times New Roman" w:eastAsia="Times New Roman"/>
          <w:b w:val="0"/>
          <w:i w:val="0"/>
          <w:sz w:val="24"/>
        </w:rPr>
        <w:t xml:space="preserve">, денежное довольствие выплачивается в иностранной валюте и в рублях в случаях, размерах и порядке, которые определяются нормативными правовыми актами Президента Российской Федерации и (или) нормативными правовыми актами Правительства Российской Федерации.</w:t>
      </w:r>
      <w:r/>
    </w:p>
    <w:p>
      <w:pPr>
        <w:pBdr/>
        <w:spacing w:after="120" w:before="0"/>
        <w:ind w:firstLine="425"/>
        <w:jc w:val="both"/>
        <w:rPr/>
      </w:pPr>
      <w:r>
        <w:rPr>
          <w:rFonts w:ascii="Times New Roman" w:hAnsi="Times New Roman" w:eastAsia="Times New Roman"/>
          <w:b w:val="0"/>
          <w:i w:val="0"/>
          <w:sz w:val="24"/>
        </w:rPr>
        <w:t xml:space="preserve">27. Денежное довольствие, установленное военнослужащим, проходящим военную службу по контракту, в соответствии с частью 26 настоящей статьи в иностранной валюте, не учитывается при и</w:t>
      </w:r>
      <w:r>
        <w:rPr>
          <w:rFonts w:ascii="Times New Roman" w:hAnsi="Times New Roman" w:eastAsia="Times New Roman"/>
          <w:b w:val="0"/>
          <w:i w:val="0"/>
          <w:sz w:val="24"/>
        </w:rPr>
        <w:t xml:space="preserve">счислении выплат (в том числе пенсий и страховых сумм), определяемых в соответствии с законодательными и иными нормативными правовыми актами Российской Федерации исходя из окладов денежного содержания военнослужащих, проходящих военную службу по контракту.</w:t>
      </w:r>
      <w:r/>
    </w:p>
    <w:p>
      <w:pPr>
        <w:pBdr/>
        <w:spacing w:after="120" w:before="0"/>
        <w:ind w:firstLine="425"/>
        <w:jc w:val="both"/>
        <w:rPr/>
      </w:pPr>
      <w:r>
        <w:rPr>
          <w:rFonts w:ascii="Times New Roman" w:hAnsi="Times New Roman" w:eastAsia="Times New Roman"/>
          <w:b w:val="0"/>
          <w:i w:val="0"/>
          <w:sz w:val="24"/>
        </w:rPr>
        <w:t xml:space="preserve">28. В период нахождения военнослужащего, проходящего военную службу по контракту, в распоряжении командира (начальника) ему выплачиваются о</w:t>
      </w:r>
      <w:r>
        <w:rPr>
          <w:rFonts w:ascii="Times New Roman" w:hAnsi="Times New Roman" w:eastAsia="Times New Roman"/>
          <w:b w:val="0"/>
          <w:i w:val="0"/>
          <w:sz w:val="24"/>
        </w:rPr>
        <w:t xml:space="preserve">клад по воинскому званию, оклад по последней занимаемой воинской должности и ежемесячная надбавка за выслугу лет в порядке, предусмотренном руководителем федерального органа исполнительной власти, в котором федеральным законом предусмотрена военная служба.</w:t>
      </w:r>
      <w:r/>
    </w:p>
    <w:p>
      <w:pPr>
        <w:pBdr/>
        <w:spacing w:after="120" w:before="0"/>
        <w:ind w:firstLine="425"/>
        <w:jc w:val="both"/>
        <w:rPr/>
      </w:pPr>
      <w:r>
        <w:rPr>
          <w:rFonts w:ascii="Times New Roman" w:hAnsi="Times New Roman" w:eastAsia="Times New Roman"/>
          <w:b w:val="0"/>
          <w:i w:val="0"/>
          <w:sz w:val="24"/>
        </w:rPr>
        <w:t xml:space="preserve">29. При возложении на военнослужащего в период нахождения его в распоряжении командира (начальника) временного исполнения обязанностей по вакантной воинской должности, которую он не занимае</w:t>
      </w:r>
      <w:r>
        <w:rPr>
          <w:rFonts w:ascii="Times New Roman" w:hAnsi="Times New Roman" w:eastAsia="Times New Roman"/>
          <w:b w:val="0"/>
          <w:i w:val="0"/>
          <w:sz w:val="24"/>
        </w:rPr>
        <w:t xml:space="preserve">т, денежное довольствие указанному военнослужащему выплачивается в полном объеме по вакантной воинской должности, по которой на него возложено временное исполнение обязанностей. При этом выплаты, предусмотренные частью 28 настоящей статьи, не производятся.</w:t>
      </w:r>
      <w:r/>
    </w:p>
    <w:p>
      <w:pPr>
        <w:pBdr/>
        <w:spacing w:after="120" w:before="0"/>
        <w:ind w:firstLine="425"/>
        <w:jc w:val="both"/>
        <w:rPr/>
      </w:pPr>
      <w:r>
        <w:rPr>
          <w:rFonts w:ascii="Times New Roman" w:hAnsi="Times New Roman" w:eastAsia="Times New Roman"/>
          <w:b w:val="0"/>
          <w:i w:val="0"/>
          <w:sz w:val="24"/>
        </w:rPr>
        <w:t xml:space="preserve">30. Военнослужащему, в отношении которого в качестве меры пресечения применено заключение под стражу, выплата денежного довольствия приостанавливается со дня заключения его под стражу и возобновляется со дня</w:t>
      </w:r>
      <w:r>
        <w:rPr>
          <w:rFonts w:ascii="Times New Roman" w:hAnsi="Times New Roman" w:eastAsia="Times New Roman"/>
          <w:b w:val="0"/>
          <w:i w:val="0"/>
          <w:sz w:val="24"/>
        </w:rPr>
        <w:t xml:space="preserve"> освобождения из-под стражи. При вынесении военнослужащему оправдательного приговора или прекращении в отношении его уголовного дела по реабилитирующим основаниям ему выплачивается денежное довольствие в полном объеме за весь период содержания под стражей.</w:t>
      </w:r>
      <w:r/>
    </w:p>
    <w:p>
      <w:pPr>
        <w:pBdr/>
        <w:spacing w:after="120" w:before="0"/>
        <w:ind w:firstLine="425"/>
        <w:jc w:val="both"/>
        <w:rPr/>
      </w:pPr>
      <w:r>
        <w:rPr>
          <w:rFonts w:ascii="Times New Roman" w:hAnsi="Times New Roman" w:eastAsia="Times New Roman"/>
          <w:b w:val="0"/>
          <w:i w:val="0"/>
          <w:sz w:val="24"/>
        </w:rPr>
        <w:t xml:space="preserve">31. За военнослужащим, захваченным в плен или в качестве заложника, интернированным в нейтральную страну либо безвестно отсутс</w:t>
      </w:r>
      <w:r>
        <w:rPr>
          <w:rFonts w:ascii="Times New Roman" w:hAnsi="Times New Roman" w:eastAsia="Times New Roman"/>
          <w:b w:val="0"/>
          <w:i w:val="0"/>
          <w:sz w:val="24"/>
        </w:rPr>
        <w:t xml:space="preserve">твующим, сохраняется денежное довольствие, которое выплачивается супруге (супругу) или другим членам семьи военнослужащего, проживавшим на момент возникновения указанных обстоятельств совместно с ним, в порядке, определяемом Правительством Российской Федер</w:t>
      </w:r>
      <w:r>
        <w:rPr>
          <w:rFonts w:ascii="Times New Roman" w:hAnsi="Times New Roman" w:eastAsia="Times New Roman"/>
          <w:b w:val="0"/>
          <w:i w:val="0"/>
          <w:sz w:val="24"/>
        </w:rPr>
        <w:t xml:space="preserve">ации, до полного выяснения обстоятельств захвата военнослужащего в плен или в качестве заложника, интернирования его в нейтральную страну или освобождения либо до признания его в установленном законом порядке безвестно отсутствующим или объявления умершим.</w:t>
      </w:r>
      <w:r/>
    </w:p>
    <w:p>
      <w:pPr>
        <w:pBdr/>
        <w:spacing w:after="120" w:before="0"/>
        <w:ind w:firstLine="425"/>
        <w:jc w:val="both"/>
        <w:rPr/>
      </w:pPr>
      <w:r>
        <w:rPr>
          <w:rFonts w:ascii="Times New Roman" w:hAnsi="Times New Roman" w:eastAsia="Times New Roman"/>
          <w:b w:val="0"/>
          <w:i w:val="0"/>
          <w:sz w:val="24"/>
        </w:rPr>
        <w:t xml:space="preserve">32. Порядок обеспечения военнослужащих денежным довольствием определяется федеральными органами исполнительной власти, в которых федеральным законом предусмотрена военная служба.</w:t>
      </w:r>
      <w:r/>
    </w:p>
    <w:p>
      <w:pPr>
        <w:pBdr/>
        <w:spacing w:after="120" w:before="0"/>
        <w:ind w:firstLine="425"/>
        <w:jc w:val="both"/>
        <w:rPr/>
      </w:pPr>
      <w:r>
        <w:rPr>
          <w:rFonts w:ascii="Times New Roman" w:hAnsi="Times New Roman" w:eastAsia="Times New Roman"/>
          <w:b w:val="0"/>
          <w:i w:val="0"/>
          <w:sz w:val="24"/>
        </w:rPr>
        <w:t xml:space="preserve">33. Особенности обеспечения денежным довольствием отдельных категорий военнослужащих определяются федеральными законами, нормативными право</w:t>
      </w:r>
      <w:r>
        <w:rPr>
          <w:rFonts w:ascii="Times New Roman" w:hAnsi="Times New Roman" w:eastAsia="Times New Roman"/>
          <w:b w:val="0"/>
          <w:i w:val="0"/>
          <w:sz w:val="24"/>
        </w:rPr>
        <w:t xml:space="preserve">выми актами Президента Российской Федерации, нормативными правовыми актами Правительства Российской Федерации, нормативными правовыми актами федеральных органов исполнительной власти и нормативными правовыми актами иных федеральных государственных органов.</w:t>
      </w:r>
      <w:r/>
    </w:p>
    <w:p>
      <w:pPr>
        <w:pBdr/>
        <w:spacing w:after="120" w:before="0"/>
        <w:ind w:firstLine="425"/>
        <w:jc w:val="both"/>
        <w:rPr/>
      </w:pPr>
      <w:r>
        <w:rPr>
          <w:rFonts w:ascii="Times New Roman" w:hAnsi="Times New Roman" w:eastAsia="Times New Roman"/>
          <w:b w:val="0"/>
          <w:i w:val="0"/>
          <w:sz w:val="24"/>
        </w:rPr>
        <w:t xml:space="preserve">34. Кроме выплат, предусмотренных настоящей статьей, Президент Российской Федерации и (или) Правительство Российской Федерации могут устанавливать иные выплаты в зависимости от сложности, объема и важности задач, выполняемых военнослужащими.</w:t>
      </w:r>
      <w:r/>
    </w:p>
    <w:p>
      <w:pPr>
        <w:pBdr/>
        <w:spacing w:after="120" w:before="240"/>
        <w:ind/>
        <w:rPr/>
      </w:pPr>
      <w:r>
        <w:rPr>
          <w:rFonts w:ascii="Times New Roman" w:hAnsi="Times New Roman" w:eastAsia="Times New Roman"/>
          <w:b/>
          <w:i w:val="0"/>
          <w:color w:val="1f3864"/>
          <w:sz w:val="26"/>
        </w:rPr>
        <w:t xml:space="preserve">Статья 3. Отдельные выплаты военнослужащим</w:t>
      </w:r>
      <w:r/>
    </w:p>
    <w:p>
      <w:pPr>
        <w:pBdr/>
        <w:spacing w:after="120" w:before="0"/>
        <w:ind/>
        <w:jc w:val="both"/>
        <w:rPr/>
      </w:pPr>
      <w:r>
        <w:rPr>
          <w:rFonts w:ascii="Times New Roman" w:hAnsi="Times New Roman" w:eastAsia="Times New Roman"/>
          <w:b w:val="0"/>
          <w:i w:val="0"/>
          <w:sz w:val="24"/>
        </w:rPr>
        <w:t xml:space="preserve">1. Военнослужащим, направляемым в служебные командировки, производятся выплаты на командировочные расходы в порядке и размерах, которые определяются Правительством Российской Федерации.</w:t>
      </w:r>
      <w:r/>
    </w:p>
    <w:p>
      <w:pPr>
        <w:pBdr/>
        <w:spacing w:after="120" w:before="0"/>
        <w:ind w:firstLine="425"/>
        <w:jc w:val="both"/>
        <w:rPr/>
      </w:pPr>
      <w:r>
        <w:rPr>
          <w:rFonts w:ascii="Times New Roman" w:hAnsi="Times New Roman" w:eastAsia="Times New Roman"/>
          <w:b w:val="0"/>
          <w:i w:val="0"/>
          <w:sz w:val="24"/>
        </w:rPr>
        <w:t xml:space="preserve">2. Военнослужащим, проходящим военную службу по конт</w:t>
      </w:r>
      <w:r>
        <w:rPr>
          <w:rFonts w:ascii="Times New Roman" w:hAnsi="Times New Roman" w:eastAsia="Times New Roman"/>
          <w:b w:val="0"/>
          <w:i w:val="0"/>
          <w:sz w:val="24"/>
        </w:rPr>
        <w:t xml:space="preserve">ракту, в том числе поступившим на военную службу по контракту из запаса, при переезде на новое место (к месту) военной службы в другой населенный пункт, в том числе на территорию или с территории иностранного государства, в связи с назначением на воинскую </w:t>
      </w:r>
      <w:r>
        <w:rPr>
          <w:rFonts w:ascii="Times New Roman" w:hAnsi="Times New Roman" w:eastAsia="Times New Roman"/>
          <w:b w:val="0"/>
          <w:i w:val="0"/>
          <w:sz w:val="24"/>
        </w:rPr>
        <w:t xml:space="preserve">должность, поступлением на военную службу по контракту, зачислением в военное образовательное учреждение профессионального образования, срок обучения в котором превышает один год, или в связи с передислокацией воинской части производятся следующие выплаты:</w:t>
      </w:r>
      <w:r/>
    </w:p>
    <w:p>
      <w:pPr>
        <w:pBdr/>
        <w:spacing w:after="120" w:before="0"/>
        <w:ind w:firstLine="425"/>
        <w:jc w:val="both"/>
        <w:rPr/>
      </w:pPr>
      <w:r>
        <w:rPr>
          <w:rFonts w:ascii="Times New Roman" w:hAnsi="Times New Roman" w:eastAsia="Times New Roman"/>
          <w:b w:val="0"/>
          <w:i w:val="0"/>
          <w:sz w:val="24"/>
        </w:rPr>
        <w:t xml:space="preserve">1) подъемное пособие - в размере одного оклада денежного содержания на военнослужащего и одно</w:t>
      </w:r>
      <w:r>
        <w:rPr>
          <w:rFonts w:ascii="Times New Roman" w:hAnsi="Times New Roman" w:eastAsia="Times New Roman"/>
          <w:b w:val="0"/>
          <w:i w:val="0"/>
          <w:sz w:val="24"/>
        </w:rPr>
        <w:t xml:space="preserve">й четвертой оклада денежного содержания на каждого члена семьи, переехавшего на новое место (к месту) военной службы военнослужащего или в близлежащий от указанного места населенный пункт либо в другие населенные пункты (из-за отсутствия жилого помещения);</w:t>
      </w:r>
      <w:r/>
    </w:p>
    <w:p>
      <w:pPr>
        <w:pBdr/>
        <w:spacing w:after="120" w:before="0"/>
        <w:ind w:firstLine="425"/>
        <w:jc w:val="both"/>
        <w:rPr/>
      </w:pPr>
      <w:r>
        <w:rPr>
          <w:rFonts w:ascii="Times New Roman" w:hAnsi="Times New Roman" w:eastAsia="Times New Roman"/>
          <w:b w:val="0"/>
          <w:i w:val="0"/>
          <w:sz w:val="24"/>
        </w:rPr>
        <w:t xml:space="preserve">2) суточные на военнослужащего и каж</w:t>
      </w:r>
      <w:r>
        <w:rPr>
          <w:rFonts w:ascii="Times New Roman" w:hAnsi="Times New Roman" w:eastAsia="Times New Roman"/>
          <w:b w:val="0"/>
          <w:i w:val="0"/>
          <w:sz w:val="24"/>
        </w:rPr>
        <w:t xml:space="preserve">дого члена его семьи, переезжающих в связи с переводом военнослужащего на новое место военной службы, за каждый день нахождения в пути - в размере, установленном Правительством Российской Федерации для военнослужащих, направляемых в служебные командировки.</w:t>
      </w:r>
      <w:r/>
    </w:p>
    <w:p>
      <w:pPr>
        <w:pBdr/>
        <w:spacing w:after="120" w:before="0"/>
        <w:ind w:firstLine="425"/>
        <w:jc w:val="both"/>
        <w:rPr/>
      </w:pPr>
      <w:r>
        <w:rPr>
          <w:rFonts w:ascii="Times New Roman" w:hAnsi="Times New Roman" w:eastAsia="Times New Roman"/>
          <w:b w:val="0"/>
          <w:i w:val="0"/>
          <w:sz w:val="24"/>
        </w:rPr>
        <w:t xml:space="preserve">3. Военнослужащему, проходящему военную службу по контракту, общая продолжительность военной службы которого составляет менее 20 лет, при увольнении с военной службы в</w:t>
      </w:r>
      <w:r>
        <w:rPr>
          <w:rFonts w:ascii="Times New Roman" w:hAnsi="Times New Roman" w:eastAsia="Times New Roman"/>
          <w:b w:val="0"/>
          <w:i w:val="0"/>
          <w:sz w:val="24"/>
        </w:rPr>
        <w:t xml:space="preserve">ыплачивается единовременное пособие в размере двух окладов денежного содержания, а военнослужащему, общая продолжительность военной службы которого составляет 20 лет и более, выплачивается единовременное пособие в размере семи окладов денежного содержания.</w:t>
      </w:r>
      <w:r/>
    </w:p>
    <w:p>
      <w:pPr>
        <w:pBdr/>
        <w:spacing w:after="120" w:before="0"/>
        <w:ind w:firstLine="425"/>
        <w:jc w:val="both"/>
        <w:rPr/>
      </w:pPr>
      <w:r>
        <w:rPr>
          <w:rFonts w:ascii="Times New Roman" w:hAnsi="Times New Roman" w:eastAsia="Times New Roman"/>
          <w:b w:val="0"/>
          <w:i w:val="0"/>
          <w:sz w:val="24"/>
        </w:rPr>
        <w:t xml:space="preserve">4. Единовременное пособие, указанное в части 3 настоящей статьи, не выплачивается военнослужащему, проходящему военную службу по контракту, при увольнении его с военной службы:</w:t>
      </w:r>
      <w:r/>
    </w:p>
    <w:p>
      <w:pPr>
        <w:pBdr/>
        <w:spacing w:after="120" w:before="0"/>
        <w:ind w:firstLine="425"/>
        <w:jc w:val="both"/>
        <w:rPr/>
      </w:pPr>
      <w:r>
        <w:rPr>
          <w:rFonts w:ascii="Times New Roman" w:hAnsi="Times New Roman" w:eastAsia="Times New Roman"/>
          <w:b w:val="0"/>
          <w:i w:val="0"/>
          <w:sz w:val="24"/>
        </w:rPr>
        <w:t xml:space="preserve">1) в связи с лишением военнослужащего воинского звания;</w:t>
      </w:r>
      <w:r/>
    </w:p>
    <w:p>
      <w:pPr>
        <w:pBdr/>
        <w:spacing w:after="120" w:before="0"/>
        <w:ind w:firstLine="425"/>
        <w:jc w:val="both"/>
        <w:rPr/>
      </w:pPr>
      <w:r>
        <w:rPr>
          <w:rFonts w:ascii="Times New Roman" w:hAnsi="Times New Roman" w:eastAsia="Times New Roman"/>
          <w:b w:val="0"/>
          <w:i w:val="0"/>
          <w:sz w:val="24"/>
        </w:rPr>
        <w:t xml:space="preserve">2) в связи с вступлением в законную силу приговора суда о назначении военнослужащему наказания в виде лишения свободы;</w:t>
      </w:r>
      <w:r/>
    </w:p>
    <w:p>
      <w:pPr>
        <w:pBdr/>
        <w:spacing w:after="120" w:before="0"/>
        <w:ind w:firstLine="425"/>
        <w:jc w:val="both"/>
        <w:rPr/>
      </w:pPr>
      <w:r>
        <w:rPr>
          <w:rFonts w:ascii="Times New Roman" w:hAnsi="Times New Roman" w:eastAsia="Times New Roman"/>
          <w:b w:val="0"/>
          <w:i w:val="0"/>
          <w:sz w:val="24"/>
        </w:rPr>
        <w:t xml:space="preserve">3) в связи с вступлением в законную силу приговора суда о назначении военнослужащему наказания в виде лишения свободы условно за преступление, совершенное умышленно;</w:t>
      </w:r>
      <w:r/>
    </w:p>
    <w:p>
      <w:pPr>
        <w:pBdr/>
        <w:spacing w:after="120" w:before="0"/>
        <w:ind w:firstLine="425"/>
        <w:jc w:val="both"/>
        <w:rPr/>
      </w:pPr>
      <w:r>
        <w:rPr>
          <w:rFonts w:ascii="Times New Roman" w:hAnsi="Times New Roman" w:eastAsia="Times New Roman"/>
          <w:b w:val="0"/>
          <w:i w:val="0"/>
          <w:sz w:val="24"/>
        </w:rPr>
        <w:t xml:space="preserve">4) в связи с отчислением из военного образовательного учреждения профессионального образования за недисциплинированность, неуспеваемость или нежелание учиться;</w:t>
      </w:r>
      <w:r/>
    </w:p>
    <w:p>
      <w:pPr>
        <w:pBdr/>
        <w:spacing w:after="120" w:before="0"/>
        <w:ind w:firstLine="425"/>
        <w:jc w:val="both"/>
        <w:rPr/>
      </w:pPr>
      <w:r>
        <w:rPr>
          <w:rFonts w:ascii="Times New Roman" w:hAnsi="Times New Roman" w:eastAsia="Times New Roman"/>
          <w:b w:val="0"/>
          <w:i w:val="0"/>
          <w:sz w:val="24"/>
        </w:rPr>
        <w:t xml:space="preserve">5) в связи с вступлением в законную силу приговора суда о лишении военнослужащего права занимать воинские должности в течение определенного срока;</w:t>
      </w:r>
      <w:r/>
    </w:p>
    <w:p>
      <w:pPr>
        <w:pBdr/>
        <w:spacing w:after="120" w:before="0"/>
        <w:ind w:firstLine="425"/>
        <w:jc w:val="both"/>
        <w:rPr/>
      </w:pPr>
      <w:r>
        <w:rPr>
          <w:rFonts w:ascii="Times New Roman" w:hAnsi="Times New Roman" w:eastAsia="Times New Roman"/>
          <w:b w:val="0"/>
          <w:i w:val="0"/>
          <w:sz w:val="24"/>
        </w:rPr>
        <w:t xml:space="preserve">6) в связи с переходом на службу в органы внутренних дел, федеральную противопожарную службу, учреждения и органы уг</w:t>
      </w:r>
      <w:r>
        <w:rPr>
          <w:rFonts w:ascii="Times New Roman" w:hAnsi="Times New Roman" w:eastAsia="Times New Roman"/>
          <w:b w:val="0"/>
          <w:i w:val="0"/>
          <w:sz w:val="24"/>
        </w:rPr>
        <w:t xml:space="preserve">оловно-исполнительной системы, органы по контролю за оборотом наркотических средств и психотропных веществ или таможенные органы Российской Федерации и назначением на должности рядового (младшего) или начальствующего состава указанных органов и учреждений;</w:t>
      </w:r>
      <w:r/>
    </w:p>
    <w:p>
      <w:pPr>
        <w:pBdr/>
        <w:spacing w:after="120" w:before="0"/>
        <w:ind w:firstLine="425"/>
        <w:jc w:val="both"/>
        <w:rPr/>
      </w:pPr>
      <w:r>
        <w:rPr>
          <w:rFonts w:ascii="Times New Roman" w:hAnsi="Times New Roman" w:eastAsia="Times New Roman"/>
          <w:b w:val="0"/>
          <w:i w:val="0"/>
          <w:sz w:val="24"/>
        </w:rPr>
        <w:t xml:space="preserve">7) в связи с невыполнением условий контракта;</w:t>
      </w:r>
      <w:r/>
    </w:p>
    <w:p>
      <w:pPr>
        <w:pBdr/>
        <w:spacing w:after="120" w:before="0"/>
        <w:ind w:firstLine="425"/>
        <w:jc w:val="both"/>
        <w:rPr/>
      </w:pPr>
      <w:r>
        <w:rPr>
          <w:rFonts w:ascii="Times New Roman" w:hAnsi="Times New Roman" w:eastAsia="Times New Roman"/>
          <w:b w:val="0"/>
          <w:i w:val="0"/>
          <w:sz w:val="24"/>
        </w:rPr>
        <w:t xml:space="preserve">8) в связи с отказом в допуске к государственной тайне или лишением указанного допуска;</w:t>
      </w:r>
      <w:r/>
    </w:p>
    <w:p>
      <w:pPr>
        <w:pBdr/>
        <w:spacing w:after="120" w:before="0"/>
        <w:ind w:firstLine="425"/>
        <w:jc w:val="both"/>
        <w:rPr/>
      </w:pPr>
      <w:r>
        <w:rPr>
          <w:rFonts w:ascii="Times New Roman" w:hAnsi="Times New Roman" w:eastAsia="Times New Roman"/>
          <w:b w:val="0"/>
          <w:i w:val="0"/>
          <w:sz w:val="24"/>
        </w:rPr>
        <w:t xml:space="preserve">9) в связи с вступлением в законную силу приговора суда о назначении военнослужащему наказания в виде лишения свободы условно за преступление, совершенное по неосторожности;</w:t>
      </w:r>
      <w:r/>
    </w:p>
    <w:p>
      <w:pPr>
        <w:pBdr/>
        <w:spacing w:after="120" w:before="0"/>
        <w:ind w:firstLine="425"/>
        <w:jc w:val="both"/>
        <w:rPr/>
      </w:pPr>
      <w:r>
        <w:rPr>
          <w:rFonts w:ascii="Times New Roman" w:hAnsi="Times New Roman" w:eastAsia="Times New Roman"/>
          <w:b w:val="0"/>
          <w:i w:val="0"/>
          <w:sz w:val="24"/>
        </w:rPr>
        <w:t xml:space="preserve">10) как не выдержавшего испытание;</w:t>
      </w:r>
      <w:r/>
    </w:p>
    <w:p>
      <w:pPr>
        <w:pBdr/>
        <w:spacing w:after="120" w:before="0"/>
        <w:ind w:firstLine="425"/>
        <w:jc w:val="both"/>
        <w:rPr/>
      </w:pPr>
      <w:r>
        <w:rPr>
          <w:rFonts w:ascii="Times New Roman" w:hAnsi="Times New Roman" w:eastAsia="Times New Roman"/>
          <w:b w:val="0"/>
          <w:i w:val="0"/>
          <w:sz w:val="24"/>
        </w:rPr>
        <w:t xml:space="preserve">11) в связи с несоблюдением ограничений, нарушением запретов, неисполнением обязанностей, связанных с прохождением военной службы, предусмотренных пунктом 7 статьи 10 и статьей 27 Федерального закона от 27 мая 1998 года № 76-ФЗ "О статусе военнослужащих".</w:t>
      </w:r>
      <w:r/>
    </w:p>
    <w:p>
      <w:pPr>
        <w:pBdr/>
        <w:spacing w:after="120" w:before="0"/>
        <w:ind w:firstLine="425"/>
        <w:jc w:val="both"/>
        <w:rPr/>
      </w:pPr>
      <w:r>
        <w:rPr>
          <w:rFonts w:ascii="Times New Roman" w:hAnsi="Times New Roman" w:eastAsia="Times New Roman"/>
          <w:b w:val="0"/>
          <w:i w:val="0"/>
          <w:sz w:val="24"/>
        </w:rPr>
        <w:t xml:space="preserve">5. Военнослужащим, проходящим военную службу по контракту, удостоенным в период прохождения военной службы государственных наград (государственной награды) СССР или государственных наград (гос</w:t>
      </w:r>
      <w:r>
        <w:rPr>
          <w:rFonts w:ascii="Times New Roman" w:hAnsi="Times New Roman" w:eastAsia="Times New Roman"/>
          <w:b w:val="0"/>
          <w:i w:val="0"/>
          <w:sz w:val="24"/>
        </w:rPr>
        <w:t xml:space="preserve">ударственной награды) Российской Федерации, в том числе удостоенным почетного звания СССР или почетного звания Российской Федерации, размер единовременных пособий, предусмотренных частью 3 настоящей статьи, увеличивается на один оклад денежного содержания.</w:t>
      </w:r>
      <w:r/>
    </w:p>
    <w:p>
      <w:pPr>
        <w:pBdr/>
        <w:spacing w:after="120" w:before="0"/>
        <w:ind w:firstLine="425"/>
        <w:jc w:val="both"/>
        <w:rPr/>
      </w:pPr>
      <w:r>
        <w:rPr>
          <w:rFonts w:ascii="Times New Roman" w:hAnsi="Times New Roman" w:eastAsia="Times New Roman"/>
          <w:b w:val="0"/>
          <w:i w:val="0"/>
          <w:sz w:val="24"/>
        </w:rPr>
        <w:t xml:space="preserve">6. Военнослужащему, проходящему военную службу по призыву, при увольнении с военной службы (за </w:t>
      </w:r>
      <w:r>
        <w:rPr>
          <w:rFonts w:ascii="Times New Roman" w:hAnsi="Times New Roman" w:eastAsia="Times New Roman"/>
          <w:b w:val="0"/>
          <w:i w:val="0"/>
          <w:sz w:val="24"/>
        </w:rPr>
        <w:t xml:space="preserve">исключением увольнения в связи с вступлением в законную силу приговора суда о назначении военнослужащему наказания в виде лишения свободы, в связи с отчислением из военного образовательного учреждения профессионального образования за недисциплинированность</w:t>
      </w:r>
      <w:r>
        <w:rPr>
          <w:rFonts w:ascii="Times New Roman" w:hAnsi="Times New Roman" w:eastAsia="Times New Roman"/>
          <w:b w:val="0"/>
          <w:i w:val="0"/>
          <w:sz w:val="24"/>
        </w:rPr>
        <w:t xml:space="preserve">, неуспеваемость или нежелание учиться) выплачивается единовременное пособие в размере двух окладов по воинской должности, а указанному лицу из числа детей-сирот или детей, оставшихся без попечения родителей, - в размере пяти окладов по воинской должности.</w:t>
      </w:r>
      <w:r/>
    </w:p>
    <w:p>
      <w:pPr>
        <w:pBdr/>
        <w:spacing w:after="120" w:before="0"/>
        <w:ind w:firstLine="425"/>
        <w:jc w:val="both"/>
        <w:rPr/>
      </w:pPr>
      <w:r>
        <w:rPr>
          <w:rFonts w:ascii="Times New Roman" w:hAnsi="Times New Roman" w:eastAsia="Times New Roman"/>
          <w:b w:val="0"/>
          <w:i w:val="0"/>
          <w:sz w:val="24"/>
        </w:rPr>
        <w:t xml:space="preserve">7. Военнослужащим, проходящим военную службу по призыву на территориях и (или) в условиях, указанных в части 23 статьи 2 настоящего Федерального закона, размер пособия, указанного в части 6 настоящей статьи, исчисляется ис</w:t>
      </w:r>
      <w:r>
        <w:rPr>
          <w:rFonts w:ascii="Times New Roman" w:hAnsi="Times New Roman" w:eastAsia="Times New Roman"/>
          <w:b w:val="0"/>
          <w:i w:val="0"/>
          <w:sz w:val="24"/>
        </w:rPr>
        <w:t xml:space="preserve">ходя из размеров окладов по воинским должностям, установленным по нормам, предусмотренным для военнослужащих, проходящих военную службу по контракту на соответствующих воинских должностях, подлежащих замещению солдатами, матросами, сержантами и старшинами.</w:t>
      </w:r>
      <w:r/>
    </w:p>
    <w:p>
      <w:pPr>
        <w:pBdr/>
        <w:spacing w:after="120" w:before="0"/>
        <w:ind w:firstLine="425"/>
        <w:jc w:val="both"/>
        <w:rPr/>
      </w:pPr>
      <w:r>
        <w:rPr>
          <w:rFonts w:ascii="Times New Roman" w:hAnsi="Times New Roman" w:eastAsia="Times New Roman"/>
          <w:b w:val="0"/>
          <w:i w:val="0"/>
          <w:sz w:val="24"/>
        </w:rPr>
        <w:t xml:space="preserve">8. В случае гибели (смерти) военнослужащего или гражданина, призванного на военные сборы, наступившей при</w:t>
      </w:r>
      <w:r>
        <w:rPr>
          <w:rFonts w:ascii="Times New Roman" w:hAnsi="Times New Roman" w:eastAsia="Times New Roman"/>
          <w:b w:val="0"/>
          <w:i w:val="0"/>
          <w:sz w:val="24"/>
        </w:rPr>
        <w:t xml:space="preserve"> исполнении им обязанностей военной службы, либо его смерти, наступившей вследствие увечья (ранения, травмы, контузии) или заболевания, полученных им при исполнении обязанностей военной службы (далее - военная травма), до истечения одного года со дня уволь</w:t>
      </w:r>
      <w:r>
        <w:rPr>
          <w:rFonts w:ascii="Times New Roman" w:hAnsi="Times New Roman" w:eastAsia="Times New Roman"/>
          <w:b w:val="0"/>
          <w:i w:val="0"/>
          <w:sz w:val="24"/>
        </w:rPr>
        <w:t xml:space="preserve">нения с военной службы (отчисления с военных сборов или окончания военных сборов), членам семьи погибшего (умершего) военнослужащего или гражданина, проходившего военные сборы, выплачивается в равных долях единовременное пособие в размере 3 000 000 рублей.</w:t>
      </w:r>
      <w:r/>
    </w:p>
    <w:p>
      <w:pPr>
        <w:pBdr/>
        <w:spacing w:after="120" w:before="0"/>
        <w:ind w:firstLine="425"/>
        <w:jc w:val="both"/>
        <w:rPr/>
      </w:pPr>
      <w:r>
        <w:rPr>
          <w:rFonts w:ascii="Times New Roman" w:hAnsi="Times New Roman" w:eastAsia="Times New Roman"/>
          <w:b w:val="0"/>
          <w:i w:val="0"/>
          <w:sz w:val="24"/>
        </w:rPr>
        <w:t xml:space="preserve">9. В случае г</w:t>
      </w:r>
      <w:r>
        <w:rPr>
          <w:rFonts w:ascii="Times New Roman" w:hAnsi="Times New Roman" w:eastAsia="Times New Roman"/>
          <w:b w:val="0"/>
          <w:i w:val="0"/>
          <w:sz w:val="24"/>
        </w:rPr>
        <w:t xml:space="preserve">ибели (смерти) военнослужащего или гражданина, призванного на военные сборы, наступившей при исполнении им обязанностей военной службы, либо смерти, наступившей вследствие военной травмы, каждому члену его семьи выплачивается ежемесячная денежная компенсац</w:t>
      </w:r>
      <w:r>
        <w:rPr>
          <w:rFonts w:ascii="Times New Roman" w:hAnsi="Times New Roman" w:eastAsia="Times New Roman"/>
          <w:b w:val="0"/>
          <w:i w:val="0"/>
          <w:sz w:val="24"/>
        </w:rPr>
        <w:t xml:space="preserve">ия, которая рассчитывается путем деления ежемесячной денежной компенсации, установленной частью 13 настоящей статьи для инвалида I группы, на количество членов семьи (включая погибшего (умершего) военнослужащего или гражданина, проходившего военные сборы).</w:t>
      </w:r>
      <w:r/>
    </w:p>
    <w:p>
      <w:pPr>
        <w:pBdr/>
        <w:spacing w:after="120" w:before="0"/>
        <w:ind w:firstLine="425"/>
        <w:jc w:val="both"/>
        <w:rPr/>
      </w:pPr>
      <w:r>
        <w:rPr>
          <w:rFonts w:ascii="Times New Roman" w:hAnsi="Times New Roman" w:eastAsia="Times New Roman"/>
          <w:b w:val="0"/>
          <w:i w:val="0"/>
          <w:sz w:val="24"/>
        </w:rPr>
        <w:t xml:space="preserve">10. Каждому члену семьи инвалида вследствие военной травмы в случае его смерти (гибели) выплачив</w:t>
      </w:r>
      <w:r>
        <w:rPr>
          <w:rFonts w:ascii="Times New Roman" w:hAnsi="Times New Roman" w:eastAsia="Times New Roman"/>
          <w:b w:val="0"/>
          <w:i w:val="0"/>
          <w:sz w:val="24"/>
        </w:rPr>
        <w:t xml:space="preserve">ается ежемесячная денежная компенсация, которая рассчитывается путем деления ежемесячной денежной компенсации, установленной частью 13 настоящей статьи для инвалида соответствующей группы, на количество членов семьи (включая умершего (погибшего) инвалида).</w:t>
      </w:r>
      <w:r/>
    </w:p>
    <w:p>
      <w:pPr>
        <w:pBdr/>
        <w:spacing w:after="120" w:before="0"/>
        <w:ind w:firstLine="425"/>
        <w:jc w:val="both"/>
        <w:rPr/>
      </w:pPr>
      <w:r>
        <w:rPr>
          <w:rFonts w:ascii="Times New Roman" w:hAnsi="Times New Roman" w:eastAsia="Times New Roman"/>
          <w:b w:val="0"/>
          <w:i w:val="0"/>
          <w:sz w:val="24"/>
        </w:rPr>
        <w:t xml:space="preserve">11. Членами семьи военнослужащего, гражданина, призванного на военные сборы, или инвалида вследствие военной травмы, имеющими право на получе</w:t>
      </w:r>
      <w:r>
        <w:rPr>
          <w:rFonts w:ascii="Times New Roman" w:hAnsi="Times New Roman" w:eastAsia="Times New Roman"/>
          <w:b w:val="0"/>
          <w:i w:val="0"/>
          <w:sz w:val="24"/>
        </w:rPr>
        <w:t xml:space="preserve">ние единовременного пособия, предусмотренного частью 8 настоящей статьи, и ежемесячной денежной компенсации, установленной частями 9 и 10 настоящей статьи, независимо от нахождения на иждивении погибшего (умершего) кормильца или трудоспособности считаются:</w:t>
      </w:r>
      <w:r/>
    </w:p>
    <w:p>
      <w:pPr>
        <w:pBdr/>
        <w:spacing w:after="120" w:before="0"/>
        <w:ind w:firstLine="425"/>
        <w:jc w:val="both"/>
        <w:rPr/>
      </w:pPr>
      <w:r>
        <w:rPr>
          <w:rFonts w:ascii="Times New Roman" w:hAnsi="Times New Roman" w:eastAsia="Times New Roman"/>
          <w:b w:val="0"/>
          <w:i w:val="0"/>
          <w:sz w:val="24"/>
        </w:rPr>
        <w:t xml:space="preserve">1) супруга (супруг), состоящая (состоящий) на день гибели (смерти) военнослужащего, гражданина, призванного на военные сборы, или инвалида вследствие военной </w:t>
      </w:r>
      <w:r>
        <w:rPr>
          <w:rFonts w:ascii="Times New Roman" w:hAnsi="Times New Roman" w:eastAsia="Times New Roman"/>
          <w:b w:val="0"/>
          <w:i w:val="0"/>
          <w:sz w:val="24"/>
        </w:rPr>
        <w:t xml:space="preserve">травмы в зарегистрированном браке с ним. При этом право на ежемесячную денежную компенсацию, установленную частями 9 и 10 настоящей статьи, имеет супруга (супруг), достигшая возраста 50 лет (достигший возраста 55 лет) или являющаяся (являющийся) инвалидом;</w:t>
      </w:r>
      <w:r/>
    </w:p>
    <w:p>
      <w:pPr>
        <w:pBdr/>
        <w:spacing w:after="120" w:before="0"/>
        <w:ind w:firstLine="425"/>
        <w:jc w:val="both"/>
        <w:rPr/>
      </w:pPr>
      <w:r>
        <w:rPr>
          <w:rFonts w:ascii="Times New Roman" w:hAnsi="Times New Roman" w:eastAsia="Times New Roman"/>
          <w:b w:val="0"/>
          <w:i w:val="0"/>
          <w:sz w:val="24"/>
        </w:rPr>
        <w:t xml:space="preserve">2) родители военнослужащего, гражданина, призванного на военны</w:t>
      </w:r>
      <w:r>
        <w:rPr>
          <w:rFonts w:ascii="Times New Roman" w:hAnsi="Times New Roman" w:eastAsia="Times New Roman"/>
          <w:b w:val="0"/>
          <w:i w:val="0"/>
          <w:sz w:val="24"/>
        </w:rPr>
        <w:t xml:space="preserve">е сборы, или инвалида вследствие военной травмы. При этом право на ежемесячную денежную компенсацию, установленную частями 9 и 10 настоящей статьи, имеют родители, достигшие возраста 50 и 55 лет (соответственно женщина и мужчина) или являющиеся инвалидами;</w:t>
      </w:r>
      <w:r/>
    </w:p>
    <w:p>
      <w:pPr>
        <w:pBdr/>
        <w:spacing w:after="120" w:before="0"/>
        <w:ind w:firstLine="425"/>
        <w:jc w:val="both"/>
        <w:rPr/>
      </w:pPr>
      <w:r>
        <w:rPr>
          <w:rFonts w:ascii="Times New Roman" w:hAnsi="Times New Roman" w:eastAsia="Times New Roman"/>
          <w:b w:val="0"/>
          <w:i w:val="0"/>
          <w:sz w:val="24"/>
        </w:rPr>
        <w:t xml:space="preserve">3) дети, не достигшие возра</w:t>
      </w:r>
      <w:r>
        <w:rPr>
          <w:rFonts w:ascii="Times New Roman" w:hAnsi="Times New Roman" w:eastAsia="Times New Roman"/>
          <w:b w:val="0"/>
          <w:i w:val="0"/>
          <w:sz w:val="24"/>
        </w:rPr>
        <w:t xml:space="preserve">ста 18 лет, или старше этого возраста, если они стали инвалидами до достижения ими возраста 18 лет, а также дети, обучающиеся в образовательных учреждениях по очной форме обучения, - до окончания обучения, но не более чем до достижения ими возраста 23 лет.</w:t>
      </w:r>
      <w:r/>
    </w:p>
    <w:p>
      <w:pPr>
        <w:pBdr/>
        <w:spacing w:after="120" w:before="0"/>
        <w:ind w:firstLine="425"/>
        <w:jc w:val="both"/>
        <w:rPr/>
      </w:pPr>
      <w:r>
        <w:rPr>
          <w:rFonts w:ascii="Times New Roman" w:hAnsi="Times New Roman" w:eastAsia="Times New Roman"/>
          <w:b w:val="0"/>
          <w:i w:val="0"/>
          <w:sz w:val="24"/>
        </w:rPr>
        <w:t xml:space="preserve">12. При увольнении военнослужащего с военной службы или отчислении с военных сборов гражданина, призванного на военные сборы, в связи с признанием его не годным к военной службе вследствие военной травмы ему выплачивается единовременное пособие в размере:</w:t>
      </w:r>
      <w:r/>
    </w:p>
    <w:p>
      <w:pPr>
        <w:pBdr/>
        <w:spacing w:after="120" w:before="0"/>
        <w:ind w:firstLine="425"/>
        <w:jc w:val="both"/>
        <w:rPr/>
      </w:pPr>
      <w:r>
        <w:rPr>
          <w:rFonts w:ascii="Times New Roman" w:hAnsi="Times New Roman" w:eastAsia="Times New Roman"/>
          <w:b w:val="0"/>
          <w:i w:val="0"/>
          <w:sz w:val="24"/>
        </w:rPr>
        <w:t xml:space="preserve">1) 2 000 000 рублей - военнослужащему, проходящему военную службу по контракту;</w:t>
      </w:r>
      <w:r/>
    </w:p>
    <w:p>
      <w:pPr>
        <w:pBdr/>
        <w:spacing w:after="120" w:before="0"/>
        <w:ind w:firstLine="425"/>
        <w:jc w:val="both"/>
        <w:rPr/>
      </w:pPr>
      <w:r>
        <w:rPr>
          <w:rFonts w:ascii="Times New Roman" w:hAnsi="Times New Roman" w:eastAsia="Times New Roman"/>
          <w:b w:val="0"/>
          <w:i w:val="0"/>
          <w:sz w:val="24"/>
        </w:rPr>
        <w:t xml:space="preserve">2) 1 000 000 рублей - военнослужащему, проходящему военную службу по призыву, или гражданину, призванному на военные сборы.</w:t>
      </w:r>
      <w:r/>
    </w:p>
    <w:p>
      <w:pPr>
        <w:pBdr/>
        <w:spacing w:after="120" w:before="0"/>
        <w:ind w:firstLine="425"/>
        <w:jc w:val="both"/>
        <w:rPr/>
      </w:pPr>
      <w:r>
        <w:rPr>
          <w:rFonts w:ascii="Times New Roman" w:hAnsi="Times New Roman" w:eastAsia="Times New Roman"/>
          <w:b w:val="0"/>
          <w:i w:val="0"/>
          <w:sz w:val="24"/>
        </w:rPr>
        <w:t xml:space="preserve">13. При установлении военнослужащему или гражданину, призванному на военные сборы, в период прохождения военной службы (военн</w:t>
      </w:r>
      <w:r>
        <w:rPr>
          <w:rFonts w:ascii="Times New Roman" w:hAnsi="Times New Roman" w:eastAsia="Times New Roman"/>
          <w:b w:val="0"/>
          <w:i w:val="0"/>
          <w:sz w:val="24"/>
        </w:rPr>
        <w:t xml:space="preserve">ых сборов) либо после увольнения с военной службы (отчисления с военных сборов или окончания военных сборов) инвалидности вследствие военной травмы ему выплачивается ежемесячная денежная компенсация в возмещение вреда, причиненного его здоровью, в размере:</w:t>
      </w:r>
      <w:r/>
    </w:p>
    <w:p>
      <w:pPr>
        <w:pBdr/>
        <w:spacing w:after="120" w:before="0"/>
        <w:ind w:firstLine="425"/>
        <w:jc w:val="both"/>
        <w:rPr/>
      </w:pPr>
      <w:r>
        <w:rPr>
          <w:rFonts w:ascii="Times New Roman" w:hAnsi="Times New Roman" w:eastAsia="Times New Roman"/>
          <w:b w:val="0"/>
          <w:i w:val="0"/>
          <w:sz w:val="24"/>
        </w:rPr>
        <w:t xml:space="preserve">1) 14 000 рублей - инвалиду I группы;</w:t>
      </w:r>
      <w:r/>
    </w:p>
    <w:p>
      <w:pPr>
        <w:pBdr/>
        <w:spacing w:after="120" w:before="0"/>
        <w:ind w:firstLine="425"/>
        <w:jc w:val="both"/>
        <w:rPr/>
      </w:pPr>
      <w:r>
        <w:rPr>
          <w:rFonts w:ascii="Times New Roman" w:hAnsi="Times New Roman" w:eastAsia="Times New Roman"/>
          <w:b w:val="0"/>
          <w:i w:val="0"/>
          <w:sz w:val="24"/>
        </w:rPr>
        <w:t xml:space="preserve">2) 7 000 рублей - инвалиду II группы;</w:t>
      </w:r>
      <w:r/>
    </w:p>
    <w:p>
      <w:pPr>
        <w:pBdr/>
        <w:spacing w:after="120" w:before="0"/>
        <w:ind w:firstLine="425"/>
        <w:jc w:val="both"/>
        <w:rPr/>
      </w:pPr>
      <w:r>
        <w:rPr>
          <w:rFonts w:ascii="Times New Roman" w:hAnsi="Times New Roman" w:eastAsia="Times New Roman"/>
          <w:b w:val="0"/>
          <w:i w:val="0"/>
          <w:sz w:val="24"/>
        </w:rPr>
        <w:t xml:space="preserve">3) 2 800 рублей - инвалиду III группы.</w:t>
      </w:r>
      <w:r/>
    </w:p>
    <w:p>
      <w:pPr>
        <w:pBdr/>
        <w:spacing w:after="120" w:before="0"/>
        <w:ind w:firstLine="425"/>
        <w:jc w:val="both"/>
        <w:rPr/>
      </w:pPr>
      <w:r>
        <w:rPr>
          <w:rFonts w:ascii="Times New Roman" w:hAnsi="Times New Roman" w:eastAsia="Times New Roman"/>
          <w:b w:val="0"/>
          <w:i w:val="0"/>
          <w:sz w:val="24"/>
        </w:rPr>
        <w:t xml:space="preserve">14. Единовременное пособие, предусмотренное частью 12 настоящей статьи, выплачивается независимо от выплаты пособий, предусмотренных частями 3 и 6 настоящей статьи.</w:t>
      </w:r>
      <w:r/>
    </w:p>
    <w:p>
      <w:pPr>
        <w:pBdr/>
        <w:spacing w:after="120" w:before="0"/>
        <w:ind w:firstLine="425"/>
        <w:jc w:val="both"/>
        <w:rPr/>
      </w:pPr>
      <w:r>
        <w:rPr>
          <w:rFonts w:ascii="Times New Roman" w:hAnsi="Times New Roman" w:eastAsia="Times New Roman"/>
          <w:b w:val="0"/>
          <w:i w:val="0"/>
          <w:sz w:val="24"/>
        </w:rPr>
        <w:t xml:space="preserve">15. Единовременные пособия и ежемесячная денеж</w:t>
      </w:r>
      <w:r>
        <w:rPr>
          <w:rFonts w:ascii="Times New Roman" w:hAnsi="Times New Roman" w:eastAsia="Times New Roman"/>
          <w:b w:val="0"/>
          <w:i w:val="0"/>
          <w:sz w:val="24"/>
        </w:rPr>
        <w:t xml:space="preserve">ная компенсация, предусмотренные частями 8-10, 12 и 13 настоящей статьи, не производятся лицам, получившим такие пособия или компенсации по тем же основаниям в соответствии с иными федеральными законами и нормативными правовыми актами Российской Федерации.</w:t>
      </w:r>
      <w:r/>
    </w:p>
    <w:p>
      <w:pPr>
        <w:pBdr/>
        <w:spacing w:after="120" w:before="0"/>
        <w:ind w:firstLine="425"/>
        <w:jc w:val="both"/>
        <w:rPr/>
      </w:pPr>
      <w:r>
        <w:rPr>
          <w:rFonts w:ascii="Times New Roman" w:hAnsi="Times New Roman" w:eastAsia="Times New Roman"/>
          <w:b w:val="0"/>
          <w:i w:val="0"/>
          <w:sz w:val="24"/>
        </w:rPr>
        <w:t xml:space="preserve">16. Размеры единовременных пособий, установленные частями 8 и 12 настоящей статьи, и размеры ежемесячной денежной компенсации, установленные частями 9, 10 и 13 настоящей статьи, ежегодно увеличиваются (индексируются</w:t>
      </w:r>
      <w:r>
        <w:rPr>
          <w:rFonts w:ascii="Times New Roman" w:hAnsi="Times New Roman" w:eastAsia="Times New Roman"/>
          <w:b w:val="0"/>
          <w:i w:val="0"/>
          <w:sz w:val="24"/>
        </w:rPr>
        <w:t xml:space="preserve">) с учетом уровня инфляции (потребительских цен) в соответствии с федеральным законом о федеральном бюджете на очередной финансовый год и плановый период. Решение об увеличении (индексации) указанных пособий принимается Правительством Российской Федерации.</w:t>
      </w:r>
      <w:r/>
    </w:p>
    <w:p>
      <w:pPr>
        <w:pBdr/>
        <w:spacing w:after="120" w:before="0"/>
        <w:ind w:firstLine="425"/>
        <w:jc w:val="both"/>
        <w:rPr/>
      </w:pPr>
      <w:r>
        <w:rPr>
          <w:rFonts w:ascii="Times New Roman" w:hAnsi="Times New Roman" w:eastAsia="Times New Roman"/>
          <w:b w:val="0"/>
          <w:i w:val="0"/>
          <w:sz w:val="24"/>
        </w:rPr>
        <w:t xml:space="preserve">17. Порядок финансирования и осуществления выплат, установленных частями 9, 10 и 13 настоящей статьи, определяется Правительством Российской Федерации.</w:t>
      </w:r>
      <w:r/>
    </w:p>
    <w:p>
      <w:pPr>
        <w:pBdr/>
        <w:spacing w:after="120" w:before="0"/>
        <w:ind w:firstLine="425"/>
        <w:jc w:val="both"/>
        <w:rPr/>
      </w:pPr>
      <w:r>
        <w:rPr>
          <w:rFonts w:ascii="Times New Roman" w:hAnsi="Times New Roman" w:eastAsia="Times New Roman"/>
          <w:b w:val="0"/>
          <w:i w:val="0"/>
          <w:sz w:val="24"/>
        </w:rPr>
        <w:t xml:space="preserve">18. Порядок предоставления военнослужащим и членам их семей выплат, предусмотренных частями 2, 3, 6, 8 и 12 настоящей статьи, определяется федеральным органом исполнительной власти, в котором федеральным законом предусмотрена военная служба.</w:t>
      </w:r>
      <w:r/>
    </w:p>
    <w:p>
      <w:pPr>
        <w:pBdr/>
        <w:spacing w:after="120" w:before="240"/>
        <w:ind/>
        <w:rPr/>
      </w:pPr>
      <w:r>
        <w:rPr>
          <w:rFonts w:ascii="Times New Roman" w:hAnsi="Times New Roman" w:eastAsia="Times New Roman"/>
          <w:b/>
          <w:i w:val="0"/>
          <w:color w:val="1f3864"/>
          <w:sz w:val="26"/>
        </w:rPr>
        <w:t xml:space="preserve">Статья 4. Фонд денежного довольствия военнослужащих</w:t>
      </w:r>
      <w:r/>
    </w:p>
    <w:p>
      <w:pPr>
        <w:pBdr/>
        <w:spacing w:after="120" w:before="0"/>
        <w:ind/>
        <w:jc w:val="both"/>
        <w:rPr/>
      </w:pPr>
      <w:r>
        <w:rPr>
          <w:rFonts w:ascii="Times New Roman" w:hAnsi="Times New Roman" w:eastAsia="Times New Roman"/>
          <w:b w:val="0"/>
          <w:i w:val="0"/>
          <w:sz w:val="24"/>
        </w:rPr>
        <w:t xml:space="preserve">1. Фонд денежного довольствия военнослужащих федерального органа испол</w:t>
      </w:r>
      <w:r>
        <w:rPr>
          <w:rFonts w:ascii="Times New Roman" w:hAnsi="Times New Roman" w:eastAsia="Times New Roman"/>
          <w:b w:val="0"/>
          <w:i w:val="0"/>
          <w:sz w:val="24"/>
        </w:rPr>
        <w:t xml:space="preserve">нительной власти, в котором федеральным законом предусмотрена военная служба, состоит из фонда денежного довольствия военнослужащих, проходящих военную службу по контракту, и фонда денежного довольствия военнослужащих, проходящих военную службу по призыву.</w:t>
      </w:r>
      <w:r/>
    </w:p>
    <w:p>
      <w:pPr>
        <w:pBdr/>
        <w:spacing w:after="120" w:before="0"/>
        <w:ind w:firstLine="425"/>
        <w:jc w:val="both"/>
        <w:rPr/>
      </w:pPr>
      <w:r>
        <w:rPr>
          <w:rFonts w:ascii="Times New Roman" w:hAnsi="Times New Roman" w:eastAsia="Times New Roman"/>
          <w:b w:val="0"/>
          <w:i w:val="0"/>
          <w:sz w:val="24"/>
        </w:rPr>
        <w:t xml:space="preserve">2. Фонд денежного довольствия военнослужащих, проходящих военную службу по контракту, состоит из фонда денежного довольствия военнослужащих центрального аппарата федерального органа исполнительной власти, в котором федера</w:t>
      </w:r>
      <w:r>
        <w:rPr>
          <w:rFonts w:ascii="Times New Roman" w:hAnsi="Times New Roman" w:eastAsia="Times New Roman"/>
          <w:b w:val="0"/>
          <w:i w:val="0"/>
          <w:sz w:val="24"/>
        </w:rPr>
        <w:t xml:space="preserve">льным законом предусмотрена военная служба, и фонда денежного довольствия военнослужащих, проходящих военную службу в воинских частях, воинских формированиях и органах соответствующего федерального органа исполнительной власти, в том числе территориальных.</w:t>
      </w:r>
      <w:r/>
    </w:p>
    <w:p>
      <w:pPr>
        <w:pBdr/>
        <w:spacing w:after="120" w:before="0"/>
        <w:ind w:firstLine="425"/>
        <w:jc w:val="both"/>
        <w:rPr/>
      </w:pPr>
      <w:r>
        <w:rPr>
          <w:rFonts w:ascii="Times New Roman" w:hAnsi="Times New Roman" w:eastAsia="Times New Roman"/>
          <w:b w:val="0"/>
          <w:i w:val="0"/>
          <w:sz w:val="24"/>
        </w:rPr>
        <w:t xml:space="preserve">3. При формировании фо</w:t>
      </w:r>
      <w:r>
        <w:rPr>
          <w:rFonts w:ascii="Times New Roman" w:hAnsi="Times New Roman" w:eastAsia="Times New Roman"/>
          <w:b w:val="0"/>
          <w:i w:val="0"/>
          <w:sz w:val="24"/>
        </w:rPr>
        <w:t xml:space="preserve">нда денежного довольствия военнослужащих, проходящих военную службу по контракту, сверх суммы средств, направляемых для выплаты окладов по воинской должности и окладов по воинскому званию, предусматриваются средства для следующих выплат (в расчете на год):</w:t>
      </w:r>
      <w:r/>
    </w:p>
    <w:p>
      <w:pPr>
        <w:pBdr/>
        <w:spacing w:after="120" w:before="0"/>
        <w:ind w:firstLine="425"/>
        <w:jc w:val="both"/>
        <w:rPr/>
      </w:pPr>
      <w:r>
        <w:rPr>
          <w:rFonts w:ascii="Times New Roman" w:hAnsi="Times New Roman" w:eastAsia="Times New Roman"/>
          <w:b w:val="0"/>
          <w:i w:val="0"/>
          <w:sz w:val="24"/>
        </w:rPr>
        <w:t xml:space="preserve">1) ежемесячная надбавка за выслугу лет;</w:t>
      </w:r>
      <w:r/>
    </w:p>
    <w:p>
      <w:pPr>
        <w:pBdr/>
        <w:spacing w:after="120" w:before="0"/>
        <w:ind w:firstLine="425"/>
        <w:jc w:val="both"/>
        <w:rPr/>
      </w:pPr>
      <w:r>
        <w:rPr>
          <w:rFonts w:ascii="Times New Roman" w:hAnsi="Times New Roman" w:eastAsia="Times New Roman"/>
          <w:b w:val="0"/>
          <w:i w:val="0"/>
          <w:sz w:val="24"/>
        </w:rPr>
        <w:t xml:space="preserve">2) ежемесячная надбавка за классную квалификацию (квалификационную категорию, квалификационный класс);</w:t>
      </w:r>
      <w:r/>
    </w:p>
    <w:p>
      <w:pPr>
        <w:pBdr/>
        <w:spacing w:after="120" w:before="0"/>
        <w:ind w:firstLine="425"/>
        <w:jc w:val="both"/>
        <w:rPr/>
      </w:pPr>
      <w:r>
        <w:rPr>
          <w:rFonts w:ascii="Times New Roman" w:hAnsi="Times New Roman" w:eastAsia="Times New Roman"/>
          <w:b w:val="0"/>
          <w:i w:val="0"/>
          <w:sz w:val="24"/>
        </w:rPr>
        <w:t xml:space="preserve">3) ежемесячная надбавка за работу со сведениями, составляющими государственную тайну;</w:t>
      </w:r>
      <w:r/>
    </w:p>
    <w:p>
      <w:pPr>
        <w:pBdr/>
        <w:spacing w:after="120" w:before="0"/>
        <w:ind w:firstLine="425"/>
        <w:jc w:val="both"/>
        <w:rPr/>
      </w:pPr>
      <w:r>
        <w:rPr>
          <w:rFonts w:ascii="Times New Roman" w:hAnsi="Times New Roman" w:eastAsia="Times New Roman"/>
          <w:b w:val="0"/>
          <w:i w:val="0"/>
          <w:sz w:val="24"/>
        </w:rPr>
        <w:t xml:space="preserve">4) ежемесячная надбавка за особые условия военной службы;</w:t>
      </w:r>
      <w:r/>
    </w:p>
    <w:p>
      <w:pPr>
        <w:pBdr/>
        <w:spacing w:after="120" w:before="0"/>
        <w:ind w:firstLine="425"/>
        <w:jc w:val="both"/>
        <w:rPr/>
      </w:pPr>
      <w:r>
        <w:rPr>
          <w:rFonts w:ascii="Times New Roman" w:hAnsi="Times New Roman" w:eastAsia="Times New Roman"/>
          <w:b w:val="0"/>
          <w:i w:val="0"/>
          <w:sz w:val="24"/>
        </w:rPr>
        <w:t xml:space="preserve">5) ежемесячная надбавка за выполнение задач, непосредственно связанных с риском для жизни и здоровья в мирное время;</w:t>
      </w:r>
      <w:r/>
    </w:p>
    <w:p>
      <w:pPr>
        <w:pBdr/>
        <w:spacing w:after="120" w:before="0"/>
        <w:ind w:firstLine="425"/>
        <w:jc w:val="both"/>
        <w:rPr/>
      </w:pPr>
      <w:r>
        <w:rPr>
          <w:rFonts w:ascii="Times New Roman" w:hAnsi="Times New Roman" w:eastAsia="Times New Roman"/>
          <w:b w:val="0"/>
          <w:i w:val="0"/>
          <w:sz w:val="24"/>
        </w:rPr>
        <w:t xml:space="preserve">6) ежемесячная надбавка за особые достижения в службе;</w:t>
      </w:r>
      <w:r/>
    </w:p>
    <w:p>
      <w:pPr>
        <w:pBdr/>
        <w:spacing w:after="120" w:before="0"/>
        <w:ind w:firstLine="425"/>
        <w:jc w:val="both"/>
        <w:rPr/>
      </w:pPr>
      <w:r>
        <w:rPr>
          <w:rFonts w:ascii="Times New Roman" w:hAnsi="Times New Roman" w:eastAsia="Times New Roman"/>
          <w:b w:val="0"/>
          <w:i w:val="0"/>
          <w:sz w:val="24"/>
        </w:rPr>
        <w:t xml:space="preserve">7) премия за добросовестное и эффективное исполнение должностных обязанностей;</w:t>
      </w:r>
      <w:r/>
    </w:p>
    <w:p>
      <w:pPr>
        <w:pBdr/>
        <w:spacing w:after="120" w:before="0"/>
        <w:ind w:firstLine="425"/>
        <w:jc w:val="both"/>
        <w:rPr/>
      </w:pPr>
      <w:r>
        <w:rPr>
          <w:rFonts w:ascii="Times New Roman" w:hAnsi="Times New Roman" w:eastAsia="Times New Roman"/>
          <w:b w:val="0"/>
          <w:i w:val="0"/>
          <w:sz w:val="24"/>
        </w:rPr>
        <w:t xml:space="preserve">8) ежегодная материальная помощь.</w:t>
      </w:r>
      <w:r/>
    </w:p>
    <w:p>
      <w:pPr>
        <w:pBdr/>
        <w:spacing w:after="120" w:before="0"/>
        <w:ind w:firstLine="425"/>
        <w:jc w:val="both"/>
        <w:rPr/>
      </w:pPr>
      <w:r>
        <w:rPr>
          <w:rFonts w:ascii="Times New Roman" w:hAnsi="Times New Roman" w:eastAsia="Times New Roman"/>
          <w:b w:val="0"/>
          <w:i w:val="0"/>
          <w:sz w:val="24"/>
        </w:rPr>
        <w:t xml:space="preserve">4. При формировании фонда денежного довольствия военнослужащих, проходящих военную службу по призыву, сверх суммы средств, направляемых для выплаты окладов по воинской должности, предусматриваются средства для следующих выплат (в расчете на год):</w:t>
      </w:r>
      <w:r/>
    </w:p>
    <w:p>
      <w:pPr>
        <w:pBdr/>
        <w:spacing w:after="120" w:before="0"/>
        <w:ind w:firstLine="425"/>
        <w:jc w:val="both"/>
        <w:rPr/>
      </w:pPr>
      <w:r>
        <w:rPr>
          <w:rFonts w:ascii="Times New Roman" w:hAnsi="Times New Roman" w:eastAsia="Times New Roman"/>
          <w:b w:val="0"/>
          <w:i w:val="0"/>
          <w:sz w:val="24"/>
        </w:rPr>
        <w:t xml:space="preserve">1) ежемесячная надбавка за классную квалификацию (квалификационную категорию, квалификационный класс);</w:t>
      </w:r>
      <w:r/>
    </w:p>
    <w:p>
      <w:pPr>
        <w:pBdr/>
        <w:spacing w:after="120" w:before="0"/>
        <w:ind w:firstLine="425"/>
        <w:jc w:val="both"/>
        <w:rPr/>
      </w:pPr>
      <w:r>
        <w:rPr>
          <w:rFonts w:ascii="Times New Roman" w:hAnsi="Times New Roman" w:eastAsia="Times New Roman"/>
          <w:b w:val="0"/>
          <w:i w:val="0"/>
          <w:sz w:val="24"/>
        </w:rPr>
        <w:t xml:space="preserve">2) ежемесячная надбавка за особые условия военной службы;</w:t>
      </w:r>
      <w:r/>
    </w:p>
    <w:p>
      <w:pPr>
        <w:pBdr/>
        <w:spacing w:after="120" w:before="0"/>
        <w:ind w:firstLine="425"/>
        <w:jc w:val="both"/>
        <w:rPr/>
      </w:pPr>
      <w:r>
        <w:rPr>
          <w:rFonts w:ascii="Times New Roman" w:hAnsi="Times New Roman" w:eastAsia="Times New Roman"/>
          <w:b w:val="0"/>
          <w:i w:val="0"/>
          <w:sz w:val="24"/>
        </w:rPr>
        <w:t xml:space="preserve">3) ежемесячная надбавка за выполнение задач, непосредственно связанных с риском для жизни и здоровья в мирное время;</w:t>
      </w:r>
      <w:r/>
    </w:p>
    <w:p>
      <w:pPr>
        <w:pBdr/>
        <w:spacing w:after="120" w:before="0"/>
        <w:ind w:firstLine="425"/>
        <w:jc w:val="both"/>
        <w:rPr/>
      </w:pPr>
      <w:r>
        <w:rPr>
          <w:rFonts w:ascii="Times New Roman" w:hAnsi="Times New Roman" w:eastAsia="Times New Roman"/>
          <w:b w:val="0"/>
          <w:i w:val="0"/>
          <w:sz w:val="24"/>
        </w:rPr>
        <w:t xml:space="preserve">4) ежемесячная надбавка за работу со сведениями, составляющими государственную тайну.</w:t>
      </w:r>
      <w:r/>
    </w:p>
    <w:p>
      <w:pPr>
        <w:pBdr/>
        <w:spacing w:after="120" w:before="0"/>
        <w:ind w:firstLine="425"/>
        <w:jc w:val="both"/>
        <w:rPr/>
      </w:pPr>
      <w:r>
        <w:rPr>
          <w:rFonts w:ascii="Times New Roman" w:hAnsi="Times New Roman" w:eastAsia="Times New Roman"/>
          <w:b w:val="0"/>
          <w:i w:val="0"/>
          <w:sz w:val="24"/>
        </w:rPr>
        <w:t xml:space="preserve">5. Фонд денежного д</w:t>
      </w:r>
      <w:r>
        <w:rPr>
          <w:rFonts w:ascii="Times New Roman" w:hAnsi="Times New Roman" w:eastAsia="Times New Roman"/>
          <w:b w:val="0"/>
          <w:i w:val="0"/>
          <w:sz w:val="24"/>
        </w:rPr>
        <w:t xml:space="preserve">овольствия военнослужащих отдельных федеральных органов исполнительной власти, в которых федеральным законом предусмотрена военная служба, формируется за счет средств, предусмотренных частями 3 и 4 настоящей статьи, а также за счет предусмотренных средств:</w:t>
      </w:r>
      <w:r/>
    </w:p>
    <w:p>
      <w:pPr>
        <w:pBdr/>
        <w:spacing w:after="120" w:before="0"/>
        <w:ind w:firstLine="425"/>
        <w:jc w:val="both"/>
        <w:rPr/>
      </w:pPr>
      <w:r>
        <w:rPr>
          <w:rFonts w:ascii="Times New Roman" w:hAnsi="Times New Roman" w:eastAsia="Times New Roman"/>
          <w:b w:val="0"/>
          <w:i w:val="0"/>
          <w:sz w:val="24"/>
        </w:rPr>
        <w:t xml:space="preserve">1) на выплату повышения денежного довольствия с учетом коэффициентов или надбавок, устанавливаемых Правительством Российской Федерации в соответствии с частью 23 статьи 2 настоящего Федерального закона;</w:t>
      </w:r>
      <w:r/>
    </w:p>
    <w:p>
      <w:pPr>
        <w:pBdr/>
        <w:spacing w:after="120" w:before="0"/>
        <w:ind w:firstLine="425"/>
        <w:jc w:val="both"/>
        <w:rPr/>
      </w:pPr>
      <w:r>
        <w:rPr>
          <w:rFonts w:ascii="Times New Roman" w:hAnsi="Times New Roman" w:eastAsia="Times New Roman"/>
          <w:b w:val="0"/>
          <w:i w:val="0"/>
          <w:sz w:val="24"/>
        </w:rPr>
        <w:t xml:space="preserve">2) на выплату коэффициентов и процентных надбавок в соответствии с частями 24 и 25 статьи 2 настоящего Федерального закона;</w:t>
      </w:r>
      <w:r/>
    </w:p>
    <w:p>
      <w:pPr>
        <w:pBdr/>
        <w:spacing w:after="120" w:before="0"/>
        <w:ind w:firstLine="425"/>
        <w:jc w:val="both"/>
        <w:rPr/>
      </w:pPr>
      <w:r>
        <w:rPr>
          <w:rFonts w:ascii="Times New Roman" w:hAnsi="Times New Roman" w:eastAsia="Times New Roman"/>
          <w:b w:val="0"/>
          <w:i w:val="0"/>
          <w:sz w:val="24"/>
        </w:rPr>
        <w:t xml:space="preserve">3) на иные установленные федеральными законами и иными нормативными правовыми актами Российской Федерации выплаты.</w:t>
      </w:r>
      <w:r/>
    </w:p>
    <w:p>
      <w:pPr>
        <w:pBdr/>
        <w:spacing w:after="120" w:before="0"/>
        <w:ind w:firstLine="425"/>
        <w:jc w:val="both"/>
        <w:rPr/>
      </w:pPr>
      <w:r>
        <w:rPr>
          <w:rFonts w:ascii="Times New Roman" w:hAnsi="Times New Roman" w:eastAsia="Times New Roman"/>
          <w:b w:val="0"/>
          <w:i w:val="0"/>
          <w:sz w:val="24"/>
        </w:rPr>
        <w:t xml:space="preserve">6. По решению ру</w:t>
      </w:r>
      <w:r>
        <w:rPr>
          <w:rFonts w:ascii="Times New Roman" w:hAnsi="Times New Roman" w:eastAsia="Times New Roman"/>
          <w:b w:val="0"/>
          <w:i w:val="0"/>
          <w:sz w:val="24"/>
        </w:rPr>
        <w:t xml:space="preserve">ководителя федерального органа исполнительной власти, в котором федеральным законом предусмотрена военная служба, средства фонда денежного довольствия военнослужащих могут перераспределяться между выплатами, предусмотренными частями 3 и 4 настоящей статьи.</w:t>
      </w:r>
      <w:r/>
    </w:p>
    <w:p>
      <w:pPr>
        <w:pBdr/>
        <w:spacing w:after="120" w:before="0"/>
        <w:ind w:firstLine="425"/>
        <w:jc w:val="both"/>
        <w:rPr/>
      </w:pPr>
      <w:r>
        <w:rPr>
          <w:rFonts w:ascii="Times New Roman" w:hAnsi="Times New Roman" w:eastAsia="Times New Roman"/>
          <w:b w:val="0"/>
          <w:i w:val="0"/>
          <w:sz w:val="24"/>
        </w:rPr>
        <w:t xml:space="preserve">7. Порядок формирования фонда денежного довольствия военнослужащих федерального органа исполнительной власти, в котором федеральным законом предусмотрена военная служба, определяется Правительством Российской Федерации.</w:t>
      </w:r>
      <w:r/>
    </w:p>
    <w:p>
      <w:pPr>
        <w:pBdr/>
        <w:spacing w:after="120" w:before="240"/>
        <w:ind/>
        <w:rPr/>
      </w:pPr>
      <w:r>
        <w:rPr>
          <w:rFonts w:ascii="Times New Roman" w:hAnsi="Times New Roman" w:eastAsia="Times New Roman"/>
          <w:b/>
          <w:i w:val="0"/>
          <w:color w:val="1f3864"/>
          <w:sz w:val="26"/>
        </w:rPr>
        <w:t xml:space="preserve">Статья 5. Сохранение размеров денежного довольствия военнослужащих, пенсий граждан, уволенных с военной службы, и членов их семей, иных выплат</w:t>
      </w:r>
      <w:r/>
    </w:p>
    <w:p>
      <w:pPr>
        <w:pBdr/>
        <w:spacing w:after="120" w:before="0"/>
        <w:ind/>
        <w:jc w:val="both"/>
        <w:rPr/>
      </w:pPr>
      <w:r>
        <w:rPr>
          <w:rFonts w:ascii="Times New Roman" w:hAnsi="Times New Roman" w:eastAsia="Times New Roman"/>
          <w:b w:val="0"/>
          <w:i w:val="0"/>
          <w:sz w:val="24"/>
        </w:rPr>
        <w:t xml:space="preserve">1. В случае уменьшения размеров ежемесячного денежного довольствия военнослужащих, пенсий граждан, уволенных </w:t>
      </w:r>
      <w:r>
        <w:rPr>
          <w:rFonts w:ascii="Times New Roman" w:hAnsi="Times New Roman" w:eastAsia="Times New Roman"/>
          <w:b w:val="0"/>
          <w:i w:val="0"/>
          <w:sz w:val="24"/>
        </w:rPr>
        <w:t xml:space="preserve">с военной службы, и членов их семей в связи с вступлением в силу настоящего Федерального закона и Федерального закона "О внесении изменений в отдельные законодательные акты Российской Федерации и признании утратившими силу отдельных положений законодательн</w:t>
      </w:r>
      <w:r>
        <w:rPr>
          <w:rFonts w:ascii="Times New Roman" w:hAnsi="Times New Roman" w:eastAsia="Times New Roman"/>
          <w:b w:val="0"/>
          <w:i w:val="0"/>
          <w:sz w:val="24"/>
        </w:rPr>
        <w:t xml:space="preserve">ых актов Российской Федерации в связи с принятием Федерального закона "О денежном довольствии военнослужащих и предоставлении им отдельных выплат" и Федерального закона "О социальных гарантиях сотрудникам органов внутренних дел Российской Федерации и внесе</w:t>
      </w:r>
      <w:r>
        <w:rPr>
          <w:rFonts w:ascii="Times New Roman" w:hAnsi="Times New Roman" w:eastAsia="Times New Roman"/>
          <w:b w:val="0"/>
          <w:i w:val="0"/>
          <w:sz w:val="24"/>
        </w:rPr>
        <w:t xml:space="preserve">нии изменений в отдельные законодательные акты Российской Федерации" за этими военнослужащими, гражданами, уволенными с военной службы, и членами их семей сохраняются размеры ежемесячного денежного довольствия и пенсий, установленные им в соответствии с за</w:t>
      </w:r>
      <w:r>
        <w:rPr>
          <w:rFonts w:ascii="Times New Roman" w:hAnsi="Times New Roman" w:eastAsia="Times New Roman"/>
          <w:b w:val="0"/>
          <w:i w:val="0"/>
          <w:sz w:val="24"/>
        </w:rPr>
        <w:t xml:space="preserve">конодательством Российской Федерации, действовавшим до дня вступления в силу настоящего Федерального закона, до приобретения ими права на ежемесячное денежное довольствие и пенсии в больших размерах на условиях, установленных настоящим Федеральным законом.</w:t>
      </w:r>
      <w:r/>
    </w:p>
    <w:p>
      <w:pPr>
        <w:pBdr/>
        <w:spacing w:after="120" w:before="0"/>
        <w:ind w:firstLine="425"/>
        <w:jc w:val="both"/>
        <w:rPr/>
      </w:pPr>
      <w:r>
        <w:rPr>
          <w:rFonts w:ascii="Times New Roman" w:hAnsi="Times New Roman" w:eastAsia="Times New Roman"/>
          <w:b w:val="0"/>
          <w:i w:val="0"/>
          <w:sz w:val="24"/>
        </w:rPr>
        <w:t xml:space="preserve">2. Лицам, указанным в частях 9, 10 и 13 статьи 3 настоящего Федерального закона, получавшим до дня вступления в силу настоящего Федерального закона выплаты в возмещение вреда,</w:t>
      </w:r>
      <w:r>
        <w:rPr>
          <w:rFonts w:ascii="Times New Roman" w:hAnsi="Times New Roman" w:eastAsia="Times New Roman"/>
          <w:b w:val="0"/>
          <w:i w:val="0"/>
          <w:sz w:val="24"/>
        </w:rPr>
        <w:t xml:space="preserve"> причиненного здоровью в связи с установлением инвалидности вследствие военной травмы, либо выплаты в возмещение вреда в связи с гибелью (смертью) военнослужащего или гражданина, призванного на военные сборы, наступившей вследствие военной травмы, либо со </w:t>
      </w:r>
      <w:r>
        <w:rPr>
          <w:rFonts w:ascii="Times New Roman" w:hAnsi="Times New Roman" w:eastAsia="Times New Roman"/>
          <w:b w:val="0"/>
          <w:i w:val="0"/>
          <w:sz w:val="24"/>
        </w:rPr>
        <w:t xml:space="preserve">смертью (гибелью) инвалида вследствие военной травмы в ином размере, чем предусмотрено частями 9, 10 и 13 статьи 3 настоящего Федерального закона, производятся выплаты в ранее назначенных размерах, но не в меньших размерах, чем предусмотрено этими частями.</w:t>
      </w:r>
      <w:r/>
    </w:p>
    <w:p>
      <w:pPr>
        <w:pBdr/>
        <w:spacing w:after="120" w:before="0"/>
        <w:ind w:firstLine="425"/>
        <w:jc w:val="both"/>
        <w:rPr/>
      </w:pPr>
      <w:r>
        <w:rPr>
          <w:rFonts w:ascii="Times New Roman" w:hAnsi="Times New Roman" w:eastAsia="Times New Roman"/>
          <w:b w:val="0"/>
          <w:i w:val="0"/>
          <w:sz w:val="24"/>
        </w:rPr>
        <w:t xml:space="preserve">3. Порядок пересмотра</w:t>
      </w:r>
      <w:r>
        <w:rPr>
          <w:rFonts w:ascii="Times New Roman" w:hAnsi="Times New Roman" w:eastAsia="Times New Roman"/>
          <w:b w:val="0"/>
          <w:i w:val="0"/>
          <w:sz w:val="24"/>
        </w:rPr>
        <w:t xml:space="preserve"> в связи с вступлением в силу настоящего Федерального закона размеров пенсий лицам, которым при увольнении с военной службы пенсии были назначены исходя из должностных окладов по замещаемым ими должностям федеральной государственной гражданской службы в Ад</w:t>
      </w:r>
      <w:r>
        <w:rPr>
          <w:rFonts w:ascii="Times New Roman" w:hAnsi="Times New Roman" w:eastAsia="Times New Roman"/>
          <w:b w:val="0"/>
          <w:i w:val="0"/>
          <w:sz w:val="24"/>
        </w:rPr>
        <w:t xml:space="preserve">министрации Президента Российской Федерации, Аппарате Совета Федерации Федерального Собрания Российской Федерации, Аппарате Государственной Думы Федерального Собрания Российской Федерации, Аппарате Конституционного Суда Российской Федерации, Аппарате Прави</w:t>
      </w:r>
      <w:r>
        <w:rPr>
          <w:rFonts w:ascii="Times New Roman" w:hAnsi="Times New Roman" w:eastAsia="Times New Roman"/>
          <w:b w:val="0"/>
          <w:i w:val="0"/>
          <w:sz w:val="24"/>
        </w:rPr>
        <w:t xml:space="preserve">тельства Российской Федерации, Счетной палате Российской Федерации, аппаратах Верховного Суда Российской Федерации и военных судов, Судебном департаменте при Верховном Суде Российской Федерации, и их семьям устанавливается Президентом Российской Федерации.</w:t>
      </w:r>
      <w:r/>
    </w:p>
    <w:p>
      <w:pPr>
        <w:pBdr/>
        <w:spacing w:after="120" w:before="0"/>
        <w:ind w:firstLine="425"/>
        <w:jc w:val="both"/>
        <w:rPr/>
      </w:pPr>
      <w:r>
        <w:rPr>
          <w:rFonts w:ascii="Times New Roman" w:hAnsi="Times New Roman" w:eastAsia="Times New Roman"/>
          <w:b w:val="0"/>
          <w:i w:val="0"/>
          <w:sz w:val="24"/>
        </w:rPr>
        <w:t xml:space="preserve">4. Порядок пересмотра в связи с вступлением в силу настоящего Федерального</w:t>
      </w:r>
      <w:r>
        <w:rPr>
          <w:rFonts w:ascii="Times New Roman" w:hAnsi="Times New Roman" w:eastAsia="Times New Roman"/>
          <w:b w:val="0"/>
          <w:i w:val="0"/>
          <w:sz w:val="24"/>
        </w:rPr>
        <w:t xml:space="preserve"> закона размеров пенсий лицам, которым пенсии были назначены при увольнении с военной службы исходя из должностных окладов по замещаемым ими должностям федеральной государственной гражданской службы в федеральных органах исполнительной власти, и их семьям,</w:t>
      </w:r>
      <w:r>
        <w:rPr>
          <w:rFonts w:ascii="Times New Roman" w:hAnsi="Times New Roman" w:eastAsia="Times New Roman"/>
          <w:b w:val="0"/>
          <w:i w:val="0"/>
          <w:sz w:val="24"/>
        </w:rPr>
        <w:t xml:space="preserve"> а также лицам, которым пенсии были назначены при увольнении с военной службы в органах международного военного сотрудничества в соответствии с международными договорами Российской Федерации, и их семьям устанавливается Правительством Российской Федерации.</w:t>
      </w:r>
      <w:r/>
    </w:p>
    <w:p>
      <w:pPr>
        <w:pBdr/>
        <w:spacing w:after="120" w:before="240"/>
        <w:ind/>
        <w:rPr/>
      </w:pPr>
      <w:r>
        <w:rPr>
          <w:rFonts w:ascii="Times New Roman" w:hAnsi="Times New Roman" w:eastAsia="Times New Roman"/>
          <w:b/>
          <w:i w:val="0"/>
          <w:color w:val="1f3864"/>
          <w:sz w:val="26"/>
        </w:rPr>
        <w:t xml:space="preserve">Статья 6. Применение законодательных и иных нормативных правовых актов Российской Федерации и действие законодательных и иных нормативных правовых актов Союза ССР</w:t>
      </w:r>
      <w:r/>
    </w:p>
    <w:p>
      <w:pPr>
        <w:pBdr/>
        <w:spacing w:after="120" w:before="0"/>
        <w:ind/>
        <w:jc w:val="both"/>
        <w:rPr/>
      </w:pPr>
      <w:r>
        <w:rPr>
          <w:rFonts w:ascii="Times New Roman" w:hAnsi="Times New Roman" w:eastAsia="Times New Roman"/>
          <w:b w:val="0"/>
          <w:i w:val="0"/>
          <w:sz w:val="24"/>
        </w:rPr>
        <w:t xml:space="preserve">1. Со дня вступления в силу</w:t>
      </w:r>
      <w:r>
        <w:rPr>
          <w:rFonts w:ascii="Times New Roman" w:hAnsi="Times New Roman" w:eastAsia="Times New Roman"/>
          <w:b w:val="0"/>
          <w:i w:val="0"/>
          <w:sz w:val="24"/>
        </w:rPr>
        <w:t xml:space="preserve"> настоящего Федерального закона законодательные и иные нормативные правовые акты Российской Федерации по вопросам денежного довольствия военнослужащих и установления им отдельных выплат применяются в части, не противоречащей настоящему Федеральному закону.</w:t>
      </w:r>
      <w:r/>
    </w:p>
    <w:p>
      <w:pPr>
        <w:pBdr/>
        <w:spacing w:after="120" w:before="0"/>
        <w:ind w:firstLine="425"/>
        <w:jc w:val="both"/>
        <w:rPr/>
      </w:pPr>
      <w:r>
        <w:rPr>
          <w:rFonts w:ascii="Times New Roman" w:hAnsi="Times New Roman" w:eastAsia="Times New Roman"/>
          <w:b w:val="0"/>
          <w:i w:val="0"/>
          <w:sz w:val="24"/>
        </w:rPr>
        <w:t xml:space="preserve">2. Со дня вступления в силу настоящего Федерально</w:t>
      </w:r>
      <w:r>
        <w:rPr>
          <w:rFonts w:ascii="Times New Roman" w:hAnsi="Times New Roman" w:eastAsia="Times New Roman"/>
          <w:b w:val="0"/>
          <w:i w:val="0"/>
          <w:sz w:val="24"/>
        </w:rPr>
        <w:t xml:space="preserve">го закона законодательные и иные нормативные правовые акты Союза ССР по вопросам денежного довольствия военнослужащих и установления им отдельных выплат действуют на территории Российской Федерации в части, не противоречащей настоящему Федеральному закону.</w:t>
      </w:r>
      <w:r/>
    </w:p>
    <w:p>
      <w:pPr>
        <w:pBdr/>
        <w:spacing w:after="120" w:before="240"/>
        <w:ind/>
        <w:rPr/>
      </w:pPr>
      <w:r>
        <w:rPr>
          <w:rFonts w:ascii="Times New Roman" w:hAnsi="Times New Roman" w:eastAsia="Times New Roman"/>
          <w:b/>
          <w:i w:val="0"/>
          <w:color w:val="1f3864"/>
          <w:sz w:val="26"/>
        </w:rPr>
        <w:t xml:space="preserve">Статья 7. Вступление в силу настоящего Федерального закона</w:t>
      </w:r>
      <w:r/>
    </w:p>
    <w:p>
      <w:pPr>
        <w:pBdr/>
        <w:spacing w:after="120" w:before="0"/>
        <w:ind/>
        <w:jc w:val="both"/>
        <w:rPr/>
      </w:pPr>
      <w:r>
        <w:rPr>
          <w:rFonts w:ascii="Times New Roman" w:hAnsi="Times New Roman" w:eastAsia="Times New Roman"/>
          <w:b w:val="0"/>
          <w:i w:val="0"/>
          <w:sz w:val="24"/>
        </w:rPr>
        <w:t xml:space="preserve">1. Настоящий Федеральный закон вступает в силу с 1 января 2012 года.</w:t>
      </w:r>
      <w:r/>
    </w:p>
    <w:p>
      <w:pPr>
        <w:pBdr/>
        <w:spacing w:after="120" w:before="0"/>
        <w:ind w:firstLine="425"/>
        <w:jc w:val="both"/>
        <w:rPr/>
      </w:pPr>
      <w:r>
        <w:rPr>
          <w:rFonts w:ascii="Times New Roman" w:hAnsi="Times New Roman" w:eastAsia="Times New Roman"/>
          <w:b w:val="0"/>
          <w:i w:val="0"/>
          <w:sz w:val="24"/>
        </w:rPr>
        <w:t xml:space="preserve">2. Положения статей 1, 2, частей 1 - 7 статьи 3, статей 4 и 6 настоящего Федерального закона в отношении военнослужащих инже</w:t>
      </w:r>
      <w:r>
        <w:rPr>
          <w:rFonts w:ascii="Times New Roman" w:hAnsi="Times New Roman" w:eastAsia="Times New Roman"/>
          <w:b w:val="0"/>
          <w:i w:val="0"/>
          <w:sz w:val="24"/>
        </w:rPr>
        <w:t xml:space="preserve">нерно-технических, дорожно-строительных воинских формирований при федеральных органах исполнительной власти и спасательных воинских формирований федерального органа исполнительной власти, уполномоченного на решение задач в области гражданской обороны, Служ</w:t>
      </w:r>
      <w:r>
        <w:rPr>
          <w:rFonts w:ascii="Times New Roman" w:hAnsi="Times New Roman" w:eastAsia="Times New Roman"/>
          <w:b w:val="0"/>
          <w:i w:val="0"/>
          <w:sz w:val="24"/>
        </w:rPr>
        <w:t xml:space="preserve">бы внешней разведки Российской Федерации, органов федеральной службы безопасности, федеральных органов государственной охраны, федерального органа обеспечения мобилизационной подготовки органов государственной власти Российской Федерации, воинских подразде</w:t>
      </w:r>
      <w:r>
        <w:rPr>
          <w:rFonts w:ascii="Times New Roman" w:hAnsi="Times New Roman" w:eastAsia="Times New Roman"/>
          <w:b w:val="0"/>
          <w:i w:val="0"/>
          <w:sz w:val="24"/>
        </w:rPr>
        <w:t xml:space="preserve">лений федеральной противопожарной службы, а также органов военной прокуратуры и военных следственных органов Следственного комитета Российской Федерации, оклады по должности которых установлены иными федеральными законами, применяются с 1 января 2013 года.</w:t>
      </w:r>
      <w:r/>
    </w:p>
    <w:p>
      <w:pPr>
        <w:pBdr/>
        <w:spacing w:after="40" w:before="160"/>
        <w:ind/>
        <w:jc w:val="right"/>
        <w:rPr/>
      </w:pPr>
      <w:r>
        <w:rPr>
          <w:rFonts w:ascii="Times New Roman" w:hAnsi="Times New Roman" w:eastAsia="Times New Roman"/>
          <w:b w:val="0"/>
          <w:i w:val="0"/>
          <w:sz w:val="24"/>
        </w:rPr>
        <w:t xml:space="preserve">Президент Российской Федерации</w:t>
      </w:r>
      <w:r/>
    </w:p>
    <w:p>
      <w:pPr>
        <w:pBdr/>
        <w:spacing w:after="40" w:before="160"/>
        <w:ind/>
        <w:jc w:val="right"/>
        <w:rPr/>
      </w:pPr>
      <w:r>
        <w:rPr>
          <w:rFonts w:ascii="Times New Roman" w:hAnsi="Times New Roman" w:eastAsia="Times New Roman"/>
          <w:b/>
          <w:i w:val="0"/>
          <w:sz w:val="24"/>
        </w:rPr>
        <w:t xml:space="preserve">Д. Медведев</w:t>
      </w:r>
      <w:r/>
    </w:p>
    <w:p>
      <w:pPr>
        <w:pBdr/>
        <w:spacing w:after="40" w:before="160"/>
        <w:ind/>
        <w:jc w:val="right"/>
        <w:rPr/>
      </w:pPr>
      <w:r>
        <w:rPr>
          <w:rFonts w:ascii="Times New Roman" w:hAnsi="Times New Roman" w:eastAsia="Times New Roman"/>
          <w:b w:val="0"/>
          <w:i w:val="0"/>
          <w:sz w:val="24"/>
        </w:rPr>
        <w:t xml:space="preserve">Москва, Кремль</w:t>
      </w:r>
      <w:r/>
    </w:p>
    <w:p>
      <w:pPr>
        <w:pBdr/>
        <w:spacing w:after="40" w:before="160"/>
        <w:ind/>
        <w:jc w:val="right"/>
        <w:rPr/>
      </w:pPr>
      <w:r>
        <w:rPr>
          <w:rFonts w:ascii="Times New Roman" w:hAnsi="Times New Roman" w:eastAsia="Times New Roman"/>
          <w:b w:val="0"/>
          <w:i w:val="0"/>
          <w:sz w:val="24"/>
        </w:rPr>
        <w:t xml:space="preserve">7 ноября 2011 года</w:t>
      </w:r>
      <w:r/>
    </w:p>
    <w:p>
      <w:pPr>
        <w:pBdr/>
        <w:spacing w:after="40" w:before="160"/>
        <w:ind/>
        <w:jc w:val="right"/>
        <w:rPr/>
      </w:pPr>
      <w:r>
        <w:rPr>
          <w:rFonts w:ascii="Times New Roman" w:hAnsi="Times New Roman" w:eastAsia="Times New Roman"/>
          <w:b/>
          <w:i w:val="0"/>
          <w:sz w:val="24"/>
        </w:rPr>
        <w:t xml:space="preserve">№ 306-ФЗ</w:t>
      </w:r>
      <w:r/>
    </w:p>
    <w:sectPr>
      <w:footnotePr/>
      <w:endnotePr/>
      <w:type w:val="nextPage"/>
      <w:pgSz w:h="16838" w:orient="portrait" w:w="11906"/>
      <w:pgMar w:top="907" w:right="1134" w:bottom="907" w:left="1134" w:header="720" w:footer="720" w:gutter="0"/>
      <w:cols w:num="1" w:sep="0" w:space="720" w:equalWidth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pBdr/>
        <w:spacing w:after="0" w:line="240" w:lineRule="auto"/>
        <w:ind/>
        <w:rPr/>
      </w:pPr>
      <w:r/>
      <w:r>
        <w:separator/>
      </w:r>
      <w:r/>
    </w:p>
  </w:endnote>
  <w:endnote w:type="continuationSeparator" w:id="0">
    <w:p>
      <w:pPr>
        <w:pBdr/>
        <w:spacing w:after="0" w:line="240" w:lineRule="auto"/>
        <w:ind/>
        <w:rPr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10000000000000000"/>
  </w:font>
  <w:font w:name="Courier">
    <w:panose1 w:val="05040102010807070707"/>
  </w:font>
  <w:font w:name="Times New Roman">
    <w:panose1 w:val="020206030504050203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pBdr/>
        <w:spacing w:after="0" w:line="240" w:lineRule="auto"/>
        <w:ind/>
        <w:rPr/>
      </w:pPr>
      <w:r/>
      <w:r>
        <w:separator/>
      </w:r>
      <w:r/>
    </w:p>
  </w:footnote>
  <w:footnote w:type="continuationSeparator" w:id="0">
    <w:p>
      <w:pPr>
        <w:pBdr/>
        <w:spacing w:after="0" w:line="240" w:lineRule="auto"/>
        <w:ind/>
        <w:rPr/>
      </w:pPr>
      <w:r/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lvl w:ilvl="0">
      <w:isLgl w:val="false"/>
      <w:lvlJc w:val="left"/>
      <w:lvlText w:val="%1."/>
      <w:numFmt w:val="decimal"/>
      <w:pPr>
        <w:pBdr/>
        <w:tabs>
          <w:tab w:val="num" w:leader="none" w:pos="1800"/>
        </w:tabs>
        <w:spacing/>
        <w:ind w:hanging="360" w:left="1800"/>
      </w:pPr>
      <w:rPr/>
      <w:start w:val="1"/>
      <w:suff w:val="tab"/>
    </w:lvl>
    <w:lvl w:ilvl="1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2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3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4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5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6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7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8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</w:abstractNum>
  <w:abstractNum w:abstractNumId="1">
    <w:nsid w:val="FFFFFF7D"/>
    <w:lvl w:ilvl="0">
      <w:isLgl w:val="false"/>
      <w:lvlJc w:val="left"/>
      <w:lvlText w:val="%1."/>
      <w:numFmt w:val="decimal"/>
      <w:pPr>
        <w:pBdr/>
        <w:tabs>
          <w:tab w:val="num" w:leader="none" w:pos="1440"/>
        </w:tabs>
        <w:spacing/>
        <w:ind w:hanging="360" w:left="1440"/>
      </w:pPr>
      <w:rPr/>
      <w:start w:val="1"/>
      <w:suff w:val="tab"/>
    </w:lvl>
    <w:lvl w:ilvl="1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2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3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4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5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6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7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8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</w:abstractNum>
  <w:abstractNum w:abstractNumId="2">
    <w:nsid w:val="FFFFFF7E"/>
    <w:lvl w:ilvl="0">
      <w:isLgl w:val="false"/>
      <w:lvlJc w:val="left"/>
      <w:lvlText w:val="%1."/>
      <w:numFmt w:val="decimal"/>
      <w:pPr>
        <w:pBdr/>
        <w:tabs>
          <w:tab w:val="num" w:leader="none" w:pos="1080"/>
        </w:tabs>
        <w:spacing/>
        <w:ind w:hanging="360" w:left="1080"/>
      </w:pPr>
      <w:pStyle w:val="728"/>
      <w:rPr/>
      <w:start w:val="1"/>
      <w:suff w:val="tab"/>
    </w:lvl>
    <w:lvl w:ilvl="1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2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3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4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5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6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7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8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</w:abstractNum>
  <w:abstractNum w:abstractNumId="3">
    <w:nsid w:val="FFFFFF7F"/>
    <w:lvl w:ilvl="0">
      <w:isLgl w:val="false"/>
      <w:lvlJc w:val="left"/>
      <w:lvlText w:val="%1."/>
      <w:numFmt w:val="decimal"/>
      <w:pPr>
        <w:pBdr/>
        <w:tabs>
          <w:tab w:val="num" w:leader="none" w:pos="720"/>
        </w:tabs>
        <w:spacing/>
        <w:ind w:hanging="360" w:left="720"/>
      </w:pPr>
      <w:pStyle w:val="727"/>
      <w:rPr/>
      <w:start w:val="1"/>
      <w:suff w:val="tab"/>
    </w:lvl>
    <w:lvl w:ilvl="1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2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3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4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5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6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7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8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</w:abstractNum>
  <w:abstractNum w:abstractNumId="4">
    <w:nsid w:val="FFFFFF81"/>
    <w:lvl w:ilvl="0">
      <w:isLgl w:val="false"/>
      <w:lvlJc w:val="left"/>
      <w:lvlText w:val=""/>
      <w:numFmt w:val="bullet"/>
      <w:pPr>
        <w:pBdr/>
        <w:tabs>
          <w:tab w:val="num" w:leader="none" w:pos="1440"/>
        </w:tabs>
        <w:spacing/>
        <w:ind w:hanging="360" w:left="1440"/>
      </w:pPr>
      <w:rPr>
        <w:rFonts w:hint="default" w:ascii="Symbol" w:hAnsi="Symbol"/>
      </w:rPr>
      <w:start w:val="1"/>
      <w:suff w:val="tab"/>
    </w:lvl>
    <w:lvl w:ilvl="1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2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3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4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5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6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7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8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</w:abstractNum>
  <w:abstractNum w:abstractNumId="5">
    <w:nsid w:val="FFFFFF82"/>
    <w:lvl w:ilvl="0">
      <w:isLgl w:val="false"/>
      <w:lvlJc w:val="left"/>
      <w:lvlText w:val=""/>
      <w:numFmt w:val="bullet"/>
      <w:pPr>
        <w:pBdr/>
        <w:tabs>
          <w:tab w:val="num" w:leader="none" w:pos="1080"/>
        </w:tabs>
        <w:spacing/>
        <w:ind w:hanging="360" w:left="1080"/>
      </w:pPr>
      <w:pStyle w:val="725"/>
      <w:rPr>
        <w:rFonts w:hint="default" w:ascii="Symbol" w:hAnsi="Symbol"/>
      </w:rPr>
      <w:start w:val="1"/>
      <w:suff w:val="tab"/>
    </w:lvl>
    <w:lvl w:ilvl="1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2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3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4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5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6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7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8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</w:abstractNum>
  <w:abstractNum w:abstractNumId="6">
    <w:nsid w:val="FFFFFF83"/>
    <w:lvl w:ilvl="0">
      <w:isLgl w:val="false"/>
      <w:lvlJc w:val="left"/>
      <w:lvlText w:val=""/>
      <w:numFmt w:val="bullet"/>
      <w:pPr>
        <w:pBdr/>
        <w:tabs>
          <w:tab w:val="num" w:leader="none" w:pos="720"/>
        </w:tabs>
        <w:spacing/>
        <w:ind w:hanging="360" w:left="720"/>
      </w:pPr>
      <w:pStyle w:val="724"/>
      <w:rPr>
        <w:rFonts w:hint="default" w:ascii="Symbol" w:hAnsi="Symbol"/>
      </w:rPr>
      <w:start w:val="1"/>
      <w:suff w:val="tab"/>
    </w:lvl>
    <w:lvl w:ilvl="1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2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3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4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5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6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7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8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</w:abstractNum>
  <w:abstractNum w:abstractNumId="7">
    <w:nsid w:val="FFFFFF88"/>
    <w:lvl w:ilvl="0">
      <w:isLgl w:val="false"/>
      <w:lvlJc w:val="left"/>
      <w:lvlText w:val="%1."/>
      <w:numFmt w:val="decimal"/>
      <w:pPr>
        <w:pBdr/>
        <w:tabs>
          <w:tab w:val="num" w:leader="none" w:pos="360"/>
        </w:tabs>
        <w:spacing/>
        <w:ind w:hanging="360" w:left="360"/>
      </w:pPr>
      <w:pStyle w:val="726"/>
      <w:rPr/>
      <w:start w:val="1"/>
      <w:suff w:val="tab"/>
    </w:lvl>
    <w:lvl w:ilvl="1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2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3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4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5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6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7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8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</w:abstractNum>
  <w:abstractNum w:abstractNumId="8">
    <w:nsid w:val="FFFFFF89"/>
    <w:lvl w:ilvl="0">
      <w:isLgl w:val="false"/>
      <w:lvlJc w:val="left"/>
      <w:lvlText w:val=""/>
      <w:numFmt w:val="bullet"/>
      <w:pPr>
        <w:pBdr/>
        <w:tabs>
          <w:tab w:val="num" w:leader="none" w:pos="360"/>
        </w:tabs>
        <w:spacing/>
        <w:ind w:hanging="360" w:left="360"/>
      </w:pPr>
      <w:pStyle w:val="723"/>
      <w:rPr>
        <w:rFonts w:hint="default" w:ascii="Symbol" w:hAnsi="Symbol"/>
      </w:rPr>
      <w:start w:val="1"/>
      <w:suff w:val="tab"/>
    </w:lvl>
    <w:lvl w:ilvl="1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2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3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4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5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6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7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8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20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useFELayout w:val="true"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EastAsia" w:cstheme="minorBidi"/>
        <w:sz w:val="22"/>
        <w:szCs w:val="22"/>
        <w:lang w:val="en-US" w:eastAsia="en-US" w:bidi="ar-SA"/>
      </w:rPr>
    </w:rPrDefault>
    <w:pPrDefault>
      <w:pPr>
        <w:pBdr/>
        <w:spacing w:after="200" w:afterAutospacing="0" w:before="0" w:beforeAutospacing="0" w:line="276" w:lineRule="auto"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table" w:styleId="13">
    <w:name w:val="Table Grid Light"/>
    <w:basedOn w:val="703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">
    <w:name w:val="Plain Table 1"/>
    <w:basedOn w:val="703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">
    <w:name w:val="Plain Table 2"/>
    <w:basedOn w:val="703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6">
    <w:name w:val="Plain Table 3"/>
    <w:basedOn w:val="7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7">
    <w:name w:val="Plain Table 4"/>
    <w:basedOn w:val="7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8">
    <w:name w:val="Plain Table 5"/>
    <w:basedOn w:val="7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9">
    <w:name w:val="Grid Table 1 Light"/>
    <w:basedOn w:val="7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0">
    <w:name w:val="Grid Table 1 Light - Accent 1"/>
    <w:basedOn w:val="7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1">
    <w:name w:val="Grid Table 1 Light - Accent 2"/>
    <w:basedOn w:val="7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2">
    <w:name w:val="Grid Table 1 Light - Accent 3"/>
    <w:basedOn w:val="7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3">
    <w:name w:val="Grid Table 1 Light - Accent 4"/>
    <w:basedOn w:val="7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4">
    <w:name w:val="Grid Table 1 Light - Accent 5"/>
    <w:basedOn w:val="7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5">
    <w:name w:val="Grid Table 1 Light - Accent 6"/>
    <w:basedOn w:val="7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6">
    <w:name w:val="Grid Table 2"/>
    <w:basedOn w:val="7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7">
    <w:name w:val="Grid Table 2 - Accent 1"/>
    <w:basedOn w:val="7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8">
    <w:name w:val="Grid Table 2 - Accent 2"/>
    <w:basedOn w:val="7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9">
    <w:name w:val="Grid Table 2 - Accent 3"/>
    <w:basedOn w:val="7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0">
    <w:name w:val="Grid Table 2 - Accent 4"/>
    <w:basedOn w:val="7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1">
    <w:name w:val="Grid Table 2 - Accent 5"/>
    <w:basedOn w:val="7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2">
    <w:name w:val="Grid Table 2 - Accent 6"/>
    <w:basedOn w:val="7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3">
    <w:name w:val="Grid Table 3"/>
    <w:basedOn w:val="7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4">
    <w:name w:val="Grid Table 3 - Accent 1"/>
    <w:basedOn w:val="7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5">
    <w:name w:val="Grid Table 3 - Accent 2"/>
    <w:basedOn w:val="7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6">
    <w:name w:val="Grid Table 3 - Accent 3"/>
    <w:basedOn w:val="7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7">
    <w:name w:val="Grid Table 3 - Accent 4"/>
    <w:basedOn w:val="7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8">
    <w:name w:val="Grid Table 3 - Accent 5"/>
    <w:basedOn w:val="7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9">
    <w:name w:val="Grid Table 3 - Accent 6"/>
    <w:basedOn w:val="7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0">
    <w:name w:val="Grid Table 4"/>
    <w:basedOn w:val="703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1">
    <w:name w:val="Grid Table 4 - Accent 1"/>
    <w:basedOn w:val="703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ce6f2" w:themeFill="accent1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ce6f2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E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2">
    <w:name w:val="Grid Table 4 - Accent 2"/>
    <w:basedOn w:val="703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3">
    <w:name w:val="Grid Table 4 - Accent 3"/>
    <w:basedOn w:val="703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FE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4">
    <w:name w:val="Grid Table 4 - Accent 4"/>
    <w:basedOn w:val="703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5">
    <w:name w:val="Grid Table 4 - Accent 5"/>
    <w:basedOn w:val="703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6">
    <w:name w:val="Grid Table 4 - Accent 6"/>
    <w:basedOn w:val="703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7">
    <w:name w:val="Grid Table 5 Dark"/>
    <w:basedOn w:val="7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8">
    <w:name w:val="Grid Table 5 Dark- Accent 1"/>
    <w:basedOn w:val="7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be5f2" w:themeFill="accent1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75" w:fill="aec5e1" w:themeFill="accen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75" w:fill="aec5e1" w:themeFill="accen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9">
    <w:name w:val="Grid Table 5 Dark - Accent 2"/>
    <w:basedOn w:val="7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3dddc" w:themeFill="accent2" w:themeFillTint="32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75" w:fill="e2afad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75" w:fill="e2afad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0">
    <w:name w:val="Grid Table 5 Dark - Accent 3"/>
    <w:basedOn w:val="7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bf1dd" w:themeFill="accent3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75" w:fill="d1e0b3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75" w:fill="d1e0b3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1">
    <w:name w:val="Grid Table 5 Dark- Accent 4"/>
    <w:basedOn w:val="7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75" w:fill="c5b8d4" w:themeFill="accent4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75" w:fill="c5b8d4" w:themeFill="accent4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2">
    <w:name w:val="Grid Table 5 Dark - Accent 5"/>
    <w:basedOn w:val="7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75" w:fill="acd9e5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75" w:fill="acd9e5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3">
    <w:name w:val="Grid Table 5 Dark - Accent 6"/>
    <w:basedOn w:val="7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ad9" w:themeFill="accent6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75" w:fill="fbcfaa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75" w:fill="fbcfaa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4">
    <w:name w:val="Grid Table 6 Colorful"/>
    <w:basedOn w:val="7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5">
    <w:name w:val="Grid Table 6 Colorful - Accent 1"/>
    <w:basedOn w:val="7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6">
    <w:name w:val="Grid Table 6 Colorful - Accent 2"/>
    <w:basedOn w:val="7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7">
    <w:name w:val="Grid Table 6 Colorful - Accent 3"/>
    <w:basedOn w:val="7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5d73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5d732f" w:themeColor="accent3" w:themeTint="FE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d73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5d73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8">
    <w:name w:val="Grid Table 6 Colorful - Accent 4"/>
    <w:basedOn w:val="7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9">
    <w:name w:val="Grid Table 6 Colorful - Accent 5"/>
    <w:basedOn w:val="7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60">
    <w:name w:val="Grid Table 6 Colorful - Accent 6"/>
    <w:basedOn w:val="7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61">
    <w:name w:val="Grid Table 7 Colorful"/>
    <w:basedOn w:val="7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2">
    <w:name w:val="Grid Table 7 Colorful - Accent 1"/>
    <w:basedOn w:val="7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rPr>
        <w:rFonts w:ascii="Arial" w:hAnsi="Arial"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e6da5" w:themeColor="accen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3">
    <w:name w:val="Grid Table 7 Colorful - Accent 2"/>
    <w:basedOn w:val="7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rPr>
        <w:rFonts w:ascii="Arial" w:hAnsi="Arial"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4">
    <w:name w:val="Grid Table 7 Colorful - Accent 3"/>
    <w:basedOn w:val="7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5d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rPr>
        <w:rFonts w:ascii="Arial" w:hAnsi="Arial"/>
        <w:color w:val="5d732f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5d732f" w:themeColor="accent3" w:themeTint="FE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d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5d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5d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5">
    <w:name w:val="Grid Table 7 Colorful - Accent 4"/>
    <w:basedOn w:val="7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rPr>
        <w:rFonts w:ascii="Arial" w:hAnsi="Arial"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6">
    <w:name w:val="Grid Table 7 Colorful - Accent 5"/>
    <w:basedOn w:val="7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rPr>
        <w:rFonts w:ascii="Arial" w:hAnsi="Arial"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66879" w:themeColor="accent5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7">
    <w:name w:val="Grid Table 7 Colorful - Accent 6"/>
    <w:basedOn w:val="7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rPr>
        <w:rFonts w:ascii="Arial" w:hAnsi="Arial"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b25408" w:themeColor="accent6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8">
    <w:name w:val="List Table 1 Light"/>
    <w:basedOn w:val="7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9">
    <w:name w:val="List Table 1 Light - Accent 1"/>
    <w:basedOn w:val="7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">
    <w:name w:val="List Table 1 Light - Accent 2"/>
    <w:basedOn w:val="7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">
    <w:name w:val="List Table 1 Light - Accent 3"/>
    <w:basedOn w:val="7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">
    <w:name w:val="List Table 1 Light - Accent 4"/>
    <w:basedOn w:val="7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">
    <w:name w:val="List Table 1 Light - Accent 5"/>
    <w:basedOn w:val="7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">
    <w:name w:val="List Table 1 Light - Accent 6"/>
    <w:basedOn w:val="7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">
    <w:name w:val="List Table 2"/>
    <w:basedOn w:val="7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">
    <w:name w:val="List Table 2 - Accent 1"/>
    <w:basedOn w:val="7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">
    <w:name w:val="List Table 2 - Accent 2"/>
    <w:basedOn w:val="7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">
    <w:name w:val="List Table 2 - Accent 3"/>
    <w:basedOn w:val="7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">
    <w:name w:val="List Table 2 - Accent 4"/>
    <w:basedOn w:val="7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">
    <w:name w:val="List Table 2 - Accent 5"/>
    <w:basedOn w:val="7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">
    <w:name w:val="List Table 2 - Accent 6"/>
    <w:basedOn w:val="7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">
    <w:name w:val="List Table 3"/>
    <w:basedOn w:val="7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">
    <w:name w:val="List Table 3 - Accent 1"/>
    <w:basedOn w:val="7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">
    <w:name w:val="List Table 3 - Accent 2"/>
    <w:basedOn w:val="7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">
    <w:name w:val="List Table 3 - Accent 3"/>
    <w:basedOn w:val="7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">
    <w:name w:val="List Table 3 - Accent 4"/>
    <w:basedOn w:val="7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">
    <w:name w:val="List Table 3 - Accent 5"/>
    <w:basedOn w:val="7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">
    <w:name w:val="List Table 3 - Accent 6"/>
    <w:basedOn w:val="7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">
    <w:name w:val="List Table 4"/>
    <w:basedOn w:val="7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">
    <w:name w:val="List Table 4 - Accent 1"/>
    <w:basedOn w:val="7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">
    <w:name w:val="List Table 4 - Accent 2"/>
    <w:basedOn w:val="7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">
    <w:name w:val="List Table 4 - Accent 3"/>
    <w:basedOn w:val="7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">
    <w:name w:val="List Table 4 - Accent 4"/>
    <w:basedOn w:val="7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">
    <w:name w:val="List Table 4 - Accent 5"/>
    <w:basedOn w:val="7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">
    <w:name w:val="List Table 4 - Accent 6"/>
    <w:basedOn w:val="7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">
    <w:name w:val="List Table 5 Dark"/>
    <w:basedOn w:val="7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7">
    <w:name w:val="List Table 5 Dark - Accent 1"/>
    <w:basedOn w:val="7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8">
    <w:name w:val="List Table 5 Dark - Accent 2"/>
    <w:basedOn w:val="7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a9796" w:themeFill="accent2" w:themeFillTint="97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9">
    <w:name w:val="List Table 5 Dark - Accent 3"/>
    <w:basedOn w:val="7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c" w:themeFill="accent3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0">
    <w:name w:val="List Table 5 Dark - Accent 4"/>
    <w:basedOn w:val="7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7" w:themeFill="accent4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1">
    <w:name w:val="List Table 5 Dark - Accent 5"/>
    <w:basedOn w:val="7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2cddd" w:themeFill="accent5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2">
    <w:name w:val="List Table 5 Dark - Accent 6"/>
    <w:basedOn w:val="7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ac091" w:themeFill="accent6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3">
    <w:name w:val="List Table 6 Colorful"/>
    <w:basedOn w:val="7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4">
    <w:name w:val="List Table 6 Colorful - Accent 1"/>
    <w:basedOn w:val="7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5">
    <w:name w:val="List Table 6 Colorful - Accent 2"/>
    <w:basedOn w:val="7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6">
    <w:name w:val="List Table 6 Colorful - Accent 3"/>
    <w:basedOn w:val="7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7c9a3f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7c9a3f" w:themeColor="accent3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a3f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7c9a3f" w:themeColor="accent3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7">
    <w:name w:val="List Table 6 Colorful - Accent 4"/>
    <w:basedOn w:val="7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8">
    <w:name w:val="List Table 6 Colorful - Accent 5"/>
    <w:basedOn w:val="7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48ba3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48ba3" w:themeColor="accent5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48ba3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48ba3" w:themeColor="accent5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9">
    <w:name w:val="List Table 6 Colorful - Accent 6"/>
    <w:basedOn w:val="7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d690a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d690a" w:themeColor="accent6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d690a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d690a" w:themeColor="accent6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0">
    <w:name w:val="List Table 7 Colorful"/>
    <w:basedOn w:val="7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1">
    <w:name w:val="List Table 7 Colorful - Accent 1"/>
    <w:basedOn w:val="7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rPr>
        <w:rFonts w:ascii="Arial" w:hAnsi="Arial"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b4b72" w:themeColor="accent1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2">
    <w:name w:val="List Table 7 Colorful - Accent 2"/>
    <w:basedOn w:val="7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rPr>
        <w:rFonts w:ascii="Arial" w:hAnsi="Arial"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3">
    <w:name w:val="List Table 7 Colorful - Accent 3"/>
    <w:basedOn w:val="7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rPr>
        <w:rFonts w:ascii="Arial" w:hAnsi="Arial"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c9a3f" w:themeColor="accent3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4">
    <w:name w:val="List Table 7 Colorful - Accent 4"/>
    <w:basedOn w:val="7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rPr>
        <w:rFonts w:ascii="Arial" w:hAnsi="Arial"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5">
    <w:name w:val="List Table 7 Colorful - Accent 5"/>
    <w:basedOn w:val="7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rPr>
        <w:rFonts w:ascii="Arial" w:hAnsi="Arial"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48ba3" w:themeColor="accent5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6">
    <w:name w:val="List Table 7 Colorful - Accent 6"/>
    <w:basedOn w:val="7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rPr>
        <w:rFonts w:ascii="Arial" w:hAnsi="Arial"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d690a" w:themeColor="accent6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7">
    <w:name w:val="Lined - Accent"/>
    <w:basedOn w:val="703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8">
    <w:name w:val="Lined - Accent 1"/>
    <w:basedOn w:val="703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9">
    <w:name w:val="Lined - Accent 2"/>
    <w:basedOn w:val="703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0">
    <w:name w:val="Lined - Accent 3"/>
    <w:basedOn w:val="703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1">
    <w:name w:val="Lined - Accent 4"/>
    <w:basedOn w:val="703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2">
    <w:name w:val="Lined - Accent 5"/>
    <w:basedOn w:val="703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3">
    <w:name w:val="Lined - Accent 6"/>
    <w:basedOn w:val="703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4">
    <w:name w:val="Bordered &amp; Lined - Accent"/>
    <w:basedOn w:val="703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5">
    <w:name w:val="Bordered &amp; Lined - Accent 1"/>
    <w:basedOn w:val="703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6">
    <w:name w:val="Bordered &amp; Lined - Accent 2"/>
    <w:basedOn w:val="703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7">
    <w:name w:val="Bordered &amp; Lined - Accent 3"/>
    <w:basedOn w:val="703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8">
    <w:name w:val="Bordered &amp; Lined - Accent 4"/>
    <w:basedOn w:val="703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9">
    <w:name w:val="Bordered &amp; Lined - Accent 5"/>
    <w:basedOn w:val="703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0">
    <w:name w:val="Bordered &amp; Lined - Accent 6"/>
    <w:basedOn w:val="703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1">
    <w:name w:val="Bordered"/>
    <w:basedOn w:val="7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2">
    <w:name w:val="Bordered - Accent 1"/>
    <w:basedOn w:val="7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3">
    <w:name w:val="Bordered - Accent 2"/>
    <w:basedOn w:val="7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4">
    <w:name w:val="Bordered - Accent 3"/>
    <w:basedOn w:val="7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5">
    <w:name w:val="Bordered - Accent 4"/>
    <w:basedOn w:val="7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6">
    <w:name w:val="Bordered - Accent 5"/>
    <w:basedOn w:val="7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7">
    <w:name w:val="Bordered - Accent 6"/>
    <w:basedOn w:val="70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181">
    <w:name w:val="footnote text"/>
    <w:basedOn w:val="688"/>
    <w:link w:val="182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182">
    <w:name w:val="Footnote Text Char"/>
    <w:basedOn w:val="702"/>
    <w:link w:val="181"/>
    <w:uiPriority w:val="99"/>
    <w:semiHidden/>
    <w:pPr>
      <w:pBdr/>
      <w:spacing/>
      <w:ind/>
    </w:pPr>
    <w:rPr>
      <w:sz w:val="20"/>
      <w:szCs w:val="20"/>
    </w:rPr>
  </w:style>
  <w:style w:type="character" w:styleId="183">
    <w:name w:val="footnote reference"/>
    <w:basedOn w:val="702"/>
    <w:uiPriority w:val="99"/>
    <w:semiHidden/>
    <w:unhideWhenUsed/>
    <w:pPr>
      <w:pBdr/>
      <w:spacing/>
      <w:ind/>
    </w:pPr>
    <w:rPr>
      <w:vertAlign w:val="superscript"/>
    </w:rPr>
  </w:style>
  <w:style w:type="paragraph" w:styleId="184">
    <w:name w:val="endnote text"/>
    <w:basedOn w:val="688"/>
    <w:link w:val="185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185">
    <w:name w:val="Endnote Text Char"/>
    <w:basedOn w:val="702"/>
    <w:link w:val="184"/>
    <w:uiPriority w:val="99"/>
    <w:semiHidden/>
    <w:pPr>
      <w:pBdr/>
      <w:spacing/>
      <w:ind/>
    </w:pPr>
    <w:rPr>
      <w:sz w:val="20"/>
      <w:szCs w:val="20"/>
    </w:rPr>
  </w:style>
  <w:style w:type="character" w:styleId="186">
    <w:name w:val="endnote reference"/>
    <w:basedOn w:val="702"/>
    <w:uiPriority w:val="99"/>
    <w:semiHidden/>
    <w:unhideWhenUsed/>
    <w:pPr>
      <w:pBdr/>
      <w:spacing/>
      <w:ind/>
    </w:pPr>
    <w:rPr>
      <w:vertAlign w:val="superscript"/>
    </w:rPr>
  </w:style>
  <w:style w:type="character" w:styleId="187">
    <w:name w:val="Hyperlink"/>
    <w:basedOn w:val="702"/>
    <w:uiPriority w:val="99"/>
    <w:unhideWhenUsed/>
    <w:pPr>
      <w:pBdr/>
      <w:spacing/>
      <w:ind/>
    </w:pPr>
    <w:rPr>
      <w:color w:val="0563c1" w:themeColor="hyperlink"/>
      <w:u w:val="single"/>
    </w:rPr>
  </w:style>
  <w:style w:type="character" w:styleId="188">
    <w:name w:val="FollowedHyperlink"/>
    <w:basedOn w:val="702"/>
    <w:uiPriority w:val="99"/>
    <w:semiHidden/>
    <w:unhideWhenUsed/>
    <w:pPr>
      <w:pBdr/>
      <w:spacing/>
      <w:ind/>
    </w:pPr>
    <w:rPr>
      <w:color w:val="954f72" w:themeColor="followedHyperlink"/>
      <w:u w:val="single"/>
    </w:rPr>
  </w:style>
  <w:style w:type="paragraph" w:styleId="189">
    <w:name w:val="toc 1"/>
    <w:basedOn w:val="688"/>
    <w:next w:val="688"/>
    <w:uiPriority w:val="39"/>
    <w:unhideWhenUsed/>
    <w:pPr>
      <w:pBdr/>
      <w:spacing w:after="100"/>
      <w:ind/>
    </w:pPr>
  </w:style>
  <w:style w:type="paragraph" w:styleId="190">
    <w:name w:val="toc 2"/>
    <w:basedOn w:val="688"/>
    <w:next w:val="688"/>
    <w:uiPriority w:val="39"/>
    <w:unhideWhenUsed/>
    <w:pPr>
      <w:pBdr/>
      <w:spacing w:after="100"/>
      <w:ind w:left="220"/>
    </w:pPr>
  </w:style>
  <w:style w:type="paragraph" w:styleId="191">
    <w:name w:val="toc 3"/>
    <w:basedOn w:val="688"/>
    <w:next w:val="688"/>
    <w:uiPriority w:val="39"/>
    <w:unhideWhenUsed/>
    <w:pPr>
      <w:pBdr/>
      <w:spacing w:after="100"/>
      <w:ind w:left="440"/>
    </w:pPr>
  </w:style>
  <w:style w:type="paragraph" w:styleId="192">
    <w:name w:val="toc 4"/>
    <w:basedOn w:val="688"/>
    <w:next w:val="688"/>
    <w:uiPriority w:val="39"/>
    <w:unhideWhenUsed/>
    <w:pPr>
      <w:pBdr/>
      <w:spacing w:after="100"/>
      <w:ind w:left="660"/>
    </w:pPr>
  </w:style>
  <w:style w:type="paragraph" w:styleId="193">
    <w:name w:val="toc 5"/>
    <w:basedOn w:val="688"/>
    <w:next w:val="688"/>
    <w:uiPriority w:val="39"/>
    <w:unhideWhenUsed/>
    <w:pPr>
      <w:pBdr/>
      <w:spacing w:after="100"/>
      <w:ind w:left="880"/>
    </w:pPr>
  </w:style>
  <w:style w:type="paragraph" w:styleId="194">
    <w:name w:val="toc 6"/>
    <w:basedOn w:val="688"/>
    <w:next w:val="688"/>
    <w:uiPriority w:val="39"/>
    <w:unhideWhenUsed/>
    <w:pPr>
      <w:pBdr/>
      <w:spacing w:after="100"/>
      <w:ind w:left="1100"/>
    </w:pPr>
  </w:style>
  <w:style w:type="paragraph" w:styleId="195">
    <w:name w:val="toc 7"/>
    <w:basedOn w:val="688"/>
    <w:next w:val="688"/>
    <w:uiPriority w:val="39"/>
    <w:unhideWhenUsed/>
    <w:pPr>
      <w:pBdr/>
      <w:spacing w:after="100"/>
      <w:ind w:left="1320"/>
    </w:pPr>
  </w:style>
  <w:style w:type="paragraph" w:styleId="196">
    <w:name w:val="toc 8"/>
    <w:basedOn w:val="688"/>
    <w:next w:val="688"/>
    <w:uiPriority w:val="39"/>
    <w:unhideWhenUsed/>
    <w:pPr>
      <w:pBdr/>
      <w:spacing w:after="100"/>
      <w:ind w:left="1540"/>
    </w:pPr>
  </w:style>
  <w:style w:type="paragraph" w:styleId="197">
    <w:name w:val="toc 9"/>
    <w:basedOn w:val="688"/>
    <w:next w:val="688"/>
    <w:uiPriority w:val="39"/>
    <w:unhideWhenUsed/>
    <w:pPr>
      <w:pBdr/>
      <w:spacing w:after="100"/>
      <w:ind w:left="1760"/>
    </w:pPr>
  </w:style>
  <w:style w:type="character" w:styleId="198">
    <w:name w:val="Placeholder Text"/>
    <w:basedOn w:val="702"/>
    <w:uiPriority w:val="99"/>
    <w:semiHidden/>
    <w:pPr>
      <w:pBdr/>
      <w:spacing/>
      <w:ind/>
    </w:pPr>
    <w:rPr>
      <w:color w:val="666666"/>
    </w:rPr>
  </w:style>
  <w:style w:type="paragraph" w:styleId="209">
    <w:name w:val="table of figures"/>
    <w:basedOn w:val="688"/>
    <w:next w:val="688"/>
    <w:uiPriority w:val="99"/>
    <w:unhideWhenUsed/>
    <w:pPr>
      <w:pBdr/>
      <w:spacing w:after="0" w:afterAutospacing="0"/>
      <w:ind/>
    </w:pPr>
  </w:style>
  <w:style w:type="paragraph" w:styleId="688" w:default="1">
    <w:name w:val="Normal"/>
    <w:qFormat/>
    <w:pPr>
      <w:pBdr/>
      <w:spacing/>
      <w:ind/>
    </w:pPr>
    <w:rPr>
      <w:rFonts w:ascii="Times New Roman" w:hAnsi="Times New Roman" w:eastAsia="Times New Roman"/>
      <w:sz w:val="24"/>
    </w:rPr>
  </w:style>
  <w:style w:type="paragraph" w:styleId="689">
    <w:name w:val="Header"/>
    <w:basedOn w:val="688"/>
    <w:link w:val="690"/>
    <w:uiPriority w:val="99"/>
    <w:unhideWhenUsed/>
    <w:pPr>
      <w:pBdr/>
      <w:tabs>
        <w:tab w:val="center" w:leader="none" w:pos="4680"/>
        <w:tab w:val="right" w:leader="none" w:pos="9360"/>
      </w:tabs>
      <w:spacing w:after="0" w:line="240" w:lineRule="auto"/>
      <w:ind/>
    </w:pPr>
  </w:style>
  <w:style w:type="character" w:styleId="690" w:customStyle="1">
    <w:name w:val="Header Char"/>
    <w:basedOn w:val="702"/>
    <w:link w:val="689"/>
    <w:uiPriority w:val="99"/>
    <w:pPr>
      <w:pBdr/>
      <w:spacing/>
      <w:ind/>
    </w:pPr>
  </w:style>
  <w:style w:type="paragraph" w:styleId="691">
    <w:name w:val="Footer"/>
    <w:basedOn w:val="688"/>
    <w:link w:val="692"/>
    <w:uiPriority w:val="99"/>
    <w:unhideWhenUsed/>
    <w:pPr>
      <w:pBdr/>
      <w:tabs>
        <w:tab w:val="center" w:leader="none" w:pos="4680"/>
        <w:tab w:val="right" w:leader="none" w:pos="9360"/>
      </w:tabs>
      <w:spacing w:after="0" w:line="240" w:lineRule="auto"/>
      <w:ind/>
    </w:pPr>
  </w:style>
  <w:style w:type="character" w:styleId="692" w:customStyle="1">
    <w:name w:val="Footer Char"/>
    <w:basedOn w:val="702"/>
    <w:link w:val="691"/>
    <w:uiPriority w:val="99"/>
    <w:pPr>
      <w:pBdr/>
      <w:spacing/>
      <w:ind/>
    </w:pPr>
  </w:style>
  <w:style w:type="paragraph" w:styleId="693">
    <w:name w:val="Heading 1"/>
    <w:basedOn w:val="688"/>
    <w:next w:val="688"/>
    <w:link w:val="706"/>
    <w:uiPriority w:val="9"/>
    <w:qFormat/>
    <w:pPr>
      <w:keepNext w:val="true"/>
      <w:keepLines w:val="true"/>
      <w:pBdr/>
      <w:spacing w:after="0" w:before="480"/>
      <w:ind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694">
    <w:name w:val="Heading 2"/>
    <w:basedOn w:val="688"/>
    <w:next w:val="688"/>
    <w:link w:val="707"/>
    <w:uiPriority w:val="9"/>
    <w:unhideWhenUsed/>
    <w:qFormat/>
    <w:pPr>
      <w:keepNext w:val="true"/>
      <w:keepLines w:val="true"/>
      <w:pBdr/>
      <w:spacing w:after="0" w:before="200"/>
      <w:ind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695">
    <w:name w:val="Heading 3"/>
    <w:basedOn w:val="688"/>
    <w:next w:val="688"/>
    <w:link w:val="708"/>
    <w:uiPriority w:val="9"/>
    <w:unhideWhenUsed/>
    <w:qFormat/>
    <w:pPr>
      <w:keepNext w:val="true"/>
      <w:keepLines w:val="true"/>
      <w:pBdr/>
      <w:spacing w:after="0" w:before="200"/>
      <w:ind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696">
    <w:name w:val="Heading 4"/>
    <w:basedOn w:val="688"/>
    <w:next w:val="688"/>
    <w:link w:val="736"/>
    <w:uiPriority w:val="9"/>
    <w:semiHidden/>
    <w:unhideWhenUsed/>
    <w:qFormat/>
    <w:pPr>
      <w:keepNext w:val="true"/>
      <w:keepLines w:val="true"/>
      <w:pBdr/>
      <w:spacing w:after="0" w:before="200"/>
      <w:ind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697">
    <w:name w:val="Heading 5"/>
    <w:basedOn w:val="688"/>
    <w:next w:val="688"/>
    <w:link w:val="737"/>
    <w:uiPriority w:val="9"/>
    <w:semiHidden/>
    <w:unhideWhenUsed/>
    <w:qFormat/>
    <w:pPr>
      <w:keepNext w:val="true"/>
      <w:keepLines w:val="true"/>
      <w:pBdr/>
      <w:spacing w:after="0" w:before="200"/>
      <w:ind/>
      <w:outlineLvl w:val="4"/>
    </w:pPr>
    <w:rPr>
      <w:rFonts w:asciiTheme="majorHAnsi" w:hAnsiTheme="majorHAnsi" w:eastAsiaTheme="majorEastAsia" w:cstheme="majorBidi"/>
      <w:color w:val="243f60" w:themeColor="accent1" w:themeShade="7F"/>
    </w:rPr>
  </w:style>
  <w:style w:type="paragraph" w:styleId="698">
    <w:name w:val="Heading 6"/>
    <w:basedOn w:val="688"/>
    <w:next w:val="688"/>
    <w:link w:val="738"/>
    <w:uiPriority w:val="9"/>
    <w:semiHidden/>
    <w:unhideWhenUsed/>
    <w:qFormat/>
    <w:pPr>
      <w:keepNext w:val="true"/>
      <w:keepLines w:val="true"/>
      <w:pBdr/>
      <w:spacing w:after="0" w:before="200"/>
      <w:ind/>
      <w:outlineLvl w:val="5"/>
    </w:pPr>
    <w:rPr>
      <w:rFonts w:asciiTheme="majorHAnsi" w:hAnsiTheme="majorHAnsi" w:eastAsiaTheme="majorEastAsia" w:cstheme="majorBidi"/>
      <w:i/>
      <w:iCs/>
      <w:color w:val="243f60" w:themeColor="accent1" w:themeShade="7F"/>
    </w:rPr>
  </w:style>
  <w:style w:type="paragraph" w:styleId="699">
    <w:name w:val="Heading 7"/>
    <w:basedOn w:val="688"/>
    <w:next w:val="688"/>
    <w:link w:val="739"/>
    <w:uiPriority w:val="9"/>
    <w:semiHidden/>
    <w:unhideWhenUsed/>
    <w:qFormat/>
    <w:pPr>
      <w:keepNext w:val="true"/>
      <w:keepLines w:val="true"/>
      <w:pBdr/>
      <w:spacing w:after="0" w:before="200"/>
      <w:ind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</w:rPr>
  </w:style>
  <w:style w:type="paragraph" w:styleId="700">
    <w:name w:val="Heading 8"/>
    <w:basedOn w:val="688"/>
    <w:next w:val="688"/>
    <w:link w:val="740"/>
    <w:uiPriority w:val="9"/>
    <w:semiHidden/>
    <w:unhideWhenUsed/>
    <w:qFormat/>
    <w:pPr>
      <w:keepNext w:val="true"/>
      <w:keepLines w:val="true"/>
      <w:pBdr/>
      <w:spacing w:after="0" w:before="200"/>
      <w:ind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</w:rPr>
  </w:style>
  <w:style w:type="paragraph" w:styleId="701">
    <w:name w:val="Heading 9"/>
    <w:basedOn w:val="688"/>
    <w:next w:val="688"/>
    <w:link w:val="741"/>
    <w:uiPriority w:val="9"/>
    <w:semiHidden/>
    <w:unhideWhenUsed/>
    <w:qFormat/>
    <w:pPr>
      <w:keepNext w:val="true"/>
      <w:keepLines w:val="true"/>
      <w:pBdr/>
      <w:spacing w:after="0" w:before="200"/>
      <w:ind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</w:rPr>
  </w:style>
  <w:style w:type="character" w:styleId="702" w:default="1">
    <w:name w:val="Default Paragraph Font"/>
    <w:uiPriority w:val="1"/>
    <w:semiHidden/>
    <w:unhideWhenUsed/>
    <w:pPr>
      <w:pBdr/>
      <w:spacing/>
      <w:ind/>
    </w:pPr>
  </w:style>
  <w:style w:type="table" w:styleId="703" w:default="1">
    <w:name w:val="Normal Table"/>
    <w:uiPriority w:val="99"/>
    <w:semiHidden/>
    <w:unhideWhenUsed/>
    <w:pPr>
      <w:pBdr/>
      <w:spacing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numbering" w:styleId="704" w:default="1">
    <w:name w:val="No List"/>
    <w:uiPriority w:val="99"/>
    <w:semiHidden/>
    <w:unhideWhenUsed/>
    <w:pPr>
      <w:pBdr/>
      <w:spacing/>
      <w:ind/>
    </w:pPr>
  </w:style>
  <w:style w:type="paragraph" w:styleId="705">
    <w:name w:val="No Spacing"/>
    <w:uiPriority w:val="1"/>
    <w:qFormat/>
    <w:pPr>
      <w:pBdr/>
      <w:spacing w:after="0" w:line="240" w:lineRule="auto"/>
      <w:ind/>
    </w:pPr>
  </w:style>
  <w:style w:type="character" w:styleId="706" w:customStyle="1">
    <w:name w:val="Heading 1 Char"/>
    <w:basedOn w:val="702"/>
    <w:link w:val="693"/>
    <w:uiPriority w:val="9"/>
    <w:pPr>
      <w:pBdr/>
      <w:spacing/>
      <w:ind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707" w:customStyle="1">
    <w:name w:val="Heading 2 Char"/>
    <w:basedOn w:val="702"/>
    <w:link w:val="694"/>
    <w:uiPriority w:val="9"/>
    <w:pPr>
      <w:pBdr/>
      <w:spacing/>
      <w:ind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708" w:customStyle="1">
    <w:name w:val="Heading 3 Char"/>
    <w:basedOn w:val="702"/>
    <w:link w:val="695"/>
    <w:uiPriority w:val="9"/>
    <w:pPr>
      <w:pBdr/>
      <w:spacing/>
      <w:ind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709">
    <w:name w:val="Title"/>
    <w:basedOn w:val="688"/>
    <w:next w:val="688"/>
    <w:link w:val="710"/>
    <w:uiPriority w:val="10"/>
    <w:qFormat/>
    <w:pPr>
      <w:pBdr>
        <w:bottom w:val="single" w:color="4f81bd" w:themeColor="accent1" w:sz="8" w:space="4"/>
      </w:pBdr>
      <w:spacing w:after="300" w:line="240" w:lineRule="auto"/>
      <w:ind/>
      <w:contextualSpacing w:val="true"/>
    </w:pPr>
    <w:rPr>
      <w:rFonts w:asciiTheme="majorHAnsi" w:hAnsiTheme="majorHAnsi" w:eastAsiaTheme="majorEastAsia" w:cstheme="majorBidi"/>
      <w:color w:val="17365d" w:themeColor="text2" w:themeShade="BF"/>
      <w:spacing w:val="5"/>
      <w:sz w:val="52"/>
      <w:szCs w:val="52"/>
    </w:rPr>
  </w:style>
  <w:style w:type="character" w:styleId="710" w:customStyle="1">
    <w:name w:val="Title Char"/>
    <w:basedOn w:val="702"/>
    <w:link w:val="709"/>
    <w:uiPriority w:val="10"/>
    <w:pPr>
      <w:pBdr/>
      <w:spacing/>
      <w:ind/>
    </w:pPr>
    <w:rPr>
      <w:rFonts w:asciiTheme="majorHAnsi" w:hAnsiTheme="majorHAnsi" w:eastAsiaTheme="majorEastAsia" w:cstheme="majorBidi"/>
      <w:color w:val="17365d" w:themeColor="text2" w:themeShade="BF"/>
      <w:spacing w:val="5"/>
      <w:sz w:val="52"/>
      <w:szCs w:val="52"/>
    </w:rPr>
  </w:style>
  <w:style w:type="paragraph" w:styleId="711">
    <w:name w:val="Subtitle"/>
    <w:basedOn w:val="688"/>
    <w:next w:val="688"/>
    <w:link w:val="712"/>
    <w:uiPriority w:val="11"/>
    <w:qFormat/>
    <w:pPr>
      <w:numPr>
        <w:ilvl w:val="1"/>
      </w:numPr>
      <w:pBdr/>
      <w:spacing/>
      <w:ind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712" w:customStyle="1">
    <w:name w:val="Subtitle Char"/>
    <w:basedOn w:val="702"/>
    <w:link w:val="711"/>
    <w:uiPriority w:val="11"/>
    <w:pPr>
      <w:pBdr/>
      <w:spacing/>
      <w:ind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713">
    <w:name w:val="List Paragraph"/>
    <w:basedOn w:val="688"/>
    <w:uiPriority w:val="34"/>
    <w:qFormat/>
    <w:pPr>
      <w:pBdr/>
      <w:spacing/>
      <w:ind w:left="720"/>
      <w:contextualSpacing w:val="true"/>
    </w:pPr>
  </w:style>
  <w:style w:type="paragraph" w:styleId="714">
    <w:name w:val="Body Text"/>
    <w:basedOn w:val="688"/>
    <w:link w:val="715"/>
    <w:uiPriority w:val="99"/>
    <w:unhideWhenUsed/>
    <w:pPr>
      <w:pBdr/>
      <w:spacing w:after="120"/>
      <w:ind/>
    </w:pPr>
  </w:style>
  <w:style w:type="character" w:styleId="715" w:customStyle="1">
    <w:name w:val="Body Text Char"/>
    <w:basedOn w:val="702"/>
    <w:link w:val="714"/>
    <w:uiPriority w:val="99"/>
    <w:pPr>
      <w:pBdr/>
      <w:spacing/>
      <w:ind/>
    </w:pPr>
  </w:style>
  <w:style w:type="paragraph" w:styleId="716">
    <w:name w:val="Body Text 2"/>
    <w:basedOn w:val="688"/>
    <w:link w:val="717"/>
    <w:uiPriority w:val="99"/>
    <w:unhideWhenUsed/>
    <w:pPr>
      <w:pBdr/>
      <w:spacing w:after="120" w:line="480" w:lineRule="auto"/>
      <w:ind/>
    </w:pPr>
  </w:style>
  <w:style w:type="character" w:styleId="717" w:customStyle="1">
    <w:name w:val="Body Text 2 Char"/>
    <w:basedOn w:val="702"/>
    <w:link w:val="716"/>
    <w:uiPriority w:val="99"/>
    <w:pPr>
      <w:pBdr/>
      <w:spacing/>
      <w:ind/>
    </w:pPr>
  </w:style>
  <w:style w:type="paragraph" w:styleId="718">
    <w:name w:val="Body Text 3"/>
    <w:basedOn w:val="688"/>
    <w:link w:val="719"/>
    <w:uiPriority w:val="99"/>
    <w:unhideWhenUsed/>
    <w:pPr>
      <w:pBdr/>
      <w:spacing w:after="120"/>
      <w:ind/>
    </w:pPr>
    <w:rPr>
      <w:sz w:val="16"/>
      <w:szCs w:val="16"/>
    </w:rPr>
  </w:style>
  <w:style w:type="character" w:styleId="719" w:customStyle="1">
    <w:name w:val="Body Text 3 Char"/>
    <w:basedOn w:val="702"/>
    <w:link w:val="718"/>
    <w:uiPriority w:val="99"/>
    <w:pPr>
      <w:pBdr/>
      <w:spacing/>
      <w:ind/>
    </w:pPr>
    <w:rPr>
      <w:sz w:val="16"/>
      <w:szCs w:val="16"/>
    </w:rPr>
  </w:style>
  <w:style w:type="paragraph" w:styleId="720">
    <w:name w:val="List"/>
    <w:basedOn w:val="688"/>
    <w:uiPriority w:val="99"/>
    <w:unhideWhenUsed/>
    <w:pPr>
      <w:pBdr/>
      <w:spacing/>
      <w:ind w:hanging="360" w:left="360"/>
      <w:contextualSpacing w:val="true"/>
    </w:pPr>
  </w:style>
  <w:style w:type="paragraph" w:styleId="721">
    <w:name w:val="List 2"/>
    <w:basedOn w:val="688"/>
    <w:uiPriority w:val="99"/>
    <w:unhideWhenUsed/>
    <w:pPr>
      <w:pBdr/>
      <w:spacing/>
      <w:ind w:hanging="360" w:left="720"/>
      <w:contextualSpacing w:val="true"/>
    </w:pPr>
  </w:style>
  <w:style w:type="paragraph" w:styleId="722">
    <w:name w:val="List 3"/>
    <w:basedOn w:val="688"/>
    <w:uiPriority w:val="99"/>
    <w:unhideWhenUsed/>
    <w:pPr>
      <w:pBdr/>
      <w:spacing/>
      <w:ind w:hanging="360" w:left="1080"/>
      <w:contextualSpacing w:val="true"/>
    </w:pPr>
  </w:style>
  <w:style w:type="paragraph" w:styleId="723">
    <w:name w:val="List Bullet"/>
    <w:basedOn w:val="688"/>
    <w:uiPriority w:val="99"/>
    <w:unhideWhenUsed/>
    <w:pPr>
      <w:numPr>
        <w:numId w:val="1"/>
      </w:numPr>
      <w:pBdr/>
      <w:spacing/>
      <w:ind/>
      <w:contextualSpacing w:val="true"/>
    </w:pPr>
  </w:style>
  <w:style w:type="paragraph" w:styleId="724">
    <w:name w:val="List Bullet 2"/>
    <w:basedOn w:val="688"/>
    <w:uiPriority w:val="99"/>
    <w:unhideWhenUsed/>
    <w:pPr>
      <w:numPr>
        <w:numId w:val="2"/>
      </w:numPr>
      <w:pBdr/>
      <w:spacing/>
      <w:ind/>
      <w:contextualSpacing w:val="true"/>
    </w:pPr>
  </w:style>
  <w:style w:type="paragraph" w:styleId="725">
    <w:name w:val="List Bullet 3"/>
    <w:basedOn w:val="688"/>
    <w:uiPriority w:val="99"/>
    <w:unhideWhenUsed/>
    <w:pPr>
      <w:numPr>
        <w:numId w:val="3"/>
      </w:numPr>
      <w:pBdr/>
      <w:spacing/>
      <w:ind/>
      <w:contextualSpacing w:val="true"/>
    </w:pPr>
  </w:style>
  <w:style w:type="paragraph" w:styleId="726">
    <w:name w:val="List Number"/>
    <w:basedOn w:val="688"/>
    <w:uiPriority w:val="99"/>
    <w:unhideWhenUsed/>
    <w:pPr>
      <w:numPr>
        <w:numId w:val="5"/>
      </w:numPr>
      <w:pBdr/>
      <w:spacing/>
      <w:ind/>
      <w:contextualSpacing w:val="true"/>
    </w:pPr>
  </w:style>
  <w:style w:type="paragraph" w:styleId="727">
    <w:name w:val="List Number 2"/>
    <w:basedOn w:val="688"/>
    <w:uiPriority w:val="99"/>
    <w:unhideWhenUsed/>
    <w:pPr>
      <w:numPr>
        <w:numId w:val="6"/>
      </w:numPr>
      <w:pBdr/>
      <w:spacing/>
      <w:ind/>
      <w:contextualSpacing w:val="true"/>
    </w:pPr>
  </w:style>
  <w:style w:type="paragraph" w:styleId="728">
    <w:name w:val="List Number 3"/>
    <w:basedOn w:val="688"/>
    <w:uiPriority w:val="99"/>
    <w:unhideWhenUsed/>
    <w:pPr>
      <w:numPr>
        <w:numId w:val="7"/>
      </w:numPr>
      <w:pBdr/>
      <w:spacing/>
      <w:ind/>
      <w:contextualSpacing w:val="true"/>
    </w:pPr>
  </w:style>
  <w:style w:type="paragraph" w:styleId="729">
    <w:name w:val="List Continue"/>
    <w:basedOn w:val="688"/>
    <w:uiPriority w:val="99"/>
    <w:unhideWhenUsed/>
    <w:pPr>
      <w:pBdr/>
      <w:spacing w:after="120"/>
      <w:ind w:left="360"/>
      <w:contextualSpacing w:val="true"/>
    </w:pPr>
  </w:style>
  <w:style w:type="paragraph" w:styleId="730">
    <w:name w:val="List Continue 2"/>
    <w:basedOn w:val="688"/>
    <w:uiPriority w:val="99"/>
    <w:unhideWhenUsed/>
    <w:pPr>
      <w:pBdr/>
      <w:spacing w:after="120"/>
      <w:ind w:left="720"/>
      <w:contextualSpacing w:val="true"/>
    </w:pPr>
  </w:style>
  <w:style w:type="paragraph" w:styleId="731">
    <w:name w:val="List Continue 3"/>
    <w:basedOn w:val="688"/>
    <w:uiPriority w:val="99"/>
    <w:unhideWhenUsed/>
    <w:pPr>
      <w:pBdr/>
      <w:spacing w:after="120"/>
      <w:ind w:left="1080"/>
      <w:contextualSpacing w:val="true"/>
    </w:pPr>
  </w:style>
  <w:style w:type="paragraph" w:styleId="732">
    <w:name w:val="macro"/>
    <w:link w:val="733"/>
    <w:uiPriority w:val="99"/>
    <w:unhideWhenUsed/>
    <w:pPr>
      <w:pBdr/>
      <w:tabs>
        <w:tab w:val="left" w:leader="none" w:pos="576"/>
        <w:tab w:val="left" w:leader="none" w:pos="1152"/>
        <w:tab w:val="left" w:leader="none" w:pos="1728"/>
        <w:tab w:val="left" w:leader="none" w:pos="2304"/>
        <w:tab w:val="left" w:leader="none" w:pos="2880"/>
        <w:tab w:val="left" w:leader="none" w:pos="3456"/>
        <w:tab w:val="left" w:leader="none" w:pos="4032"/>
      </w:tabs>
      <w:spacing/>
      <w:ind/>
    </w:pPr>
    <w:rPr>
      <w:rFonts w:ascii="Courier" w:hAnsi="Courier"/>
      <w:sz w:val="20"/>
      <w:szCs w:val="20"/>
    </w:rPr>
  </w:style>
  <w:style w:type="character" w:styleId="733" w:customStyle="1">
    <w:name w:val="Macro Text Char"/>
    <w:basedOn w:val="702"/>
    <w:link w:val="732"/>
    <w:uiPriority w:val="99"/>
    <w:pPr>
      <w:pBdr/>
      <w:spacing/>
      <w:ind/>
    </w:pPr>
    <w:rPr>
      <w:rFonts w:ascii="Courier" w:hAnsi="Courier"/>
      <w:sz w:val="20"/>
      <w:szCs w:val="20"/>
    </w:rPr>
  </w:style>
  <w:style w:type="paragraph" w:styleId="734">
    <w:name w:val="Quote"/>
    <w:basedOn w:val="688"/>
    <w:next w:val="688"/>
    <w:link w:val="735"/>
    <w:uiPriority w:val="29"/>
    <w:qFormat/>
    <w:pPr>
      <w:pBdr/>
      <w:spacing/>
      <w:ind/>
    </w:pPr>
    <w:rPr>
      <w:i/>
      <w:iCs/>
      <w:color w:val="000000" w:themeColor="text1"/>
    </w:rPr>
  </w:style>
  <w:style w:type="character" w:styleId="735" w:customStyle="1">
    <w:name w:val="Quote Char"/>
    <w:basedOn w:val="702"/>
    <w:link w:val="734"/>
    <w:uiPriority w:val="29"/>
    <w:pPr>
      <w:pBdr/>
      <w:spacing/>
      <w:ind/>
    </w:pPr>
    <w:rPr>
      <w:i/>
      <w:iCs/>
      <w:color w:val="000000" w:themeColor="text1"/>
    </w:rPr>
  </w:style>
  <w:style w:type="character" w:styleId="736" w:customStyle="1">
    <w:name w:val="Heading 4 Char"/>
    <w:basedOn w:val="702"/>
    <w:link w:val="696"/>
    <w:uiPriority w:val="9"/>
    <w:semiHidden/>
    <w:pPr>
      <w:pBdr/>
      <w:spacing/>
      <w:ind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737" w:customStyle="1">
    <w:name w:val="Heading 5 Char"/>
    <w:basedOn w:val="702"/>
    <w:link w:val="697"/>
    <w:uiPriority w:val="9"/>
    <w:semiHidden/>
    <w:pPr>
      <w:pBdr/>
      <w:spacing/>
      <w:ind/>
    </w:pPr>
    <w:rPr>
      <w:rFonts w:asciiTheme="majorHAnsi" w:hAnsiTheme="majorHAnsi" w:eastAsiaTheme="majorEastAsia" w:cstheme="majorBidi"/>
      <w:color w:val="243f60" w:themeColor="accent1" w:themeShade="7F"/>
    </w:rPr>
  </w:style>
  <w:style w:type="character" w:styleId="738" w:customStyle="1">
    <w:name w:val="Heading 6 Char"/>
    <w:basedOn w:val="702"/>
    <w:link w:val="698"/>
    <w:uiPriority w:val="9"/>
    <w:semiHidden/>
    <w:pPr>
      <w:pBdr/>
      <w:spacing/>
      <w:ind/>
    </w:pPr>
    <w:rPr>
      <w:rFonts w:asciiTheme="majorHAnsi" w:hAnsiTheme="majorHAnsi" w:eastAsiaTheme="majorEastAsia" w:cstheme="majorBidi"/>
      <w:i/>
      <w:iCs/>
      <w:color w:val="243f60" w:themeColor="accent1" w:themeShade="7F"/>
    </w:rPr>
  </w:style>
  <w:style w:type="character" w:styleId="739" w:customStyle="1">
    <w:name w:val="Heading 7 Char"/>
    <w:basedOn w:val="702"/>
    <w:link w:val="699"/>
    <w:uiPriority w:val="9"/>
    <w:semiHidden/>
    <w:pPr>
      <w:pBdr/>
      <w:spacing/>
      <w:ind/>
    </w:pPr>
    <w:rPr>
      <w:rFonts w:asciiTheme="majorHAnsi" w:hAnsiTheme="majorHAnsi" w:eastAsiaTheme="majorEastAsia" w:cstheme="majorBidi"/>
      <w:i/>
      <w:iCs/>
      <w:color w:val="404040" w:themeColor="text1" w:themeTint="BF"/>
    </w:rPr>
  </w:style>
  <w:style w:type="character" w:styleId="740" w:customStyle="1">
    <w:name w:val="Heading 8 Char"/>
    <w:basedOn w:val="702"/>
    <w:link w:val="700"/>
    <w:uiPriority w:val="9"/>
    <w:semiHidden/>
    <w:pPr>
      <w:pBdr/>
      <w:spacing/>
      <w:ind/>
    </w:pPr>
    <w:rPr>
      <w:rFonts w:asciiTheme="majorHAnsi" w:hAnsiTheme="majorHAnsi" w:eastAsiaTheme="majorEastAsia" w:cstheme="majorBidi"/>
      <w:color w:val="4f81bd" w:themeColor="accent1"/>
      <w:sz w:val="20"/>
      <w:szCs w:val="20"/>
    </w:rPr>
  </w:style>
  <w:style w:type="character" w:styleId="741" w:customStyle="1">
    <w:name w:val="Heading 9 Char"/>
    <w:basedOn w:val="702"/>
    <w:link w:val="701"/>
    <w:uiPriority w:val="9"/>
    <w:semiHidden/>
    <w:pPr>
      <w:pBdr/>
      <w:spacing/>
      <w:ind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</w:rPr>
  </w:style>
  <w:style w:type="paragraph" w:styleId="742">
    <w:name w:val="Caption"/>
    <w:basedOn w:val="688"/>
    <w:next w:val="688"/>
    <w:uiPriority w:val="35"/>
    <w:semiHidden/>
    <w:unhideWhenUsed/>
    <w:qFormat/>
    <w:pPr>
      <w:pBdr/>
      <w:spacing w:line="240" w:lineRule="auto"/>
      <w:ind/>
    </w:pPr>
    <w:rPr>
      <w:b/>
      <w:bCs/>
      <w:color w:val="4f81bd" w:themeColor="accent1"/>
      <w:sz w:val="18"/>
      <w:szCs w:val="18"/>
    </w:rPr>
  </w:style>
  <w:style w:type="character" w:styleId="743">
    <w:name w:val="Strong"/>
    <w:basedOn w:val="702"/>
    <w:uiPriority w:val="22"/>
    <w:qFormat/>
    <w:pPr>
      <w:pBdr/>
      <w:spacing/>
      <w:ind/>
    </w:pPr>
    <w:rPr>
      <w:b/>
      <w:bCs/>
    </w:rPr>
  </w:style>
  <w:style w:type="character" w:styleId="744">
    <w:name w:val="Emphasis"/>
    <w:basedOn w:val="702"/>
    <w:uiPriority w:val="20"/>
    <w:qFormat/>
    <w:pPr>
      <w:pBdr/>
      <w:spacing/>
      <w:ind/>
    </w:pPr>
    <w:rPr>
      <w:i/>
      <w:iCs/>
    </w:rPr>
  </w:style>
  <w:style w:type="paragraph" w:styleId="745">
    <w:name w:val="Intense Quote"/>
    <w:basedOn w:val="688"/>
    <w:next w:val="688"/>
    <w:link w:val="746"/>
    <w:uiPriority w:val="30"/>
    <w:qFormat/>
    <w:pPr>
      <w:pBdr>
        <w:bottom w:val="single" w:color="4f81bd" w:themeColor="accent1" w:sz="4" w:space="4"/>
      </w:pBdr>
      <w:spacing w:after="280" w:before="200"/>
      <w:ind w:right="936" w:left="936"/>
    </w:pPr>
    <w:rPr>
      <w:b/>
      <w:bCs/>
      <w:i/>
      <w:iCs/>
      <w:color w:val="4f81bd" w:themeColor="accent1"/>
    </w:rPr>
  </w:style>
  <w:style w:type="character" w:styleId="746" w:customStyle="1">
    <w:name w:val="Intense Quote Char"/>
    <w:basedOn w:val="702"/>
    <w:link w:val="745"/>
    <w:uiPriority w:val="30"/>
    <w:pPr>
      <w:pBdr/>
      <w:spacing/>
      <w:ind/>
    </w:pPr>
    <w:rPr>
      <w:b/>
      <w:bCs/>
      <w:i/>
      <w:iCs/>
      <w:color w:val="4f81bd" w:themeColor="accent1"/>
    </w:rPr>
  </w:style>
  <w:style w:type="character" w:styleId="747">
    <w:name w:val="Subtle Emphasis"/>
    <w:basedOn w:val="702"/>
    <w:uiPriority w:val="19"/>
    <w:qFormat/>
    <w:pPr>
      <w:pBdr/>
      <w:spacing/>
      <w:ind/>
    </w:pPr>
    <w:rPr>
      <w:i/>
      <w:iCs/>
      <w:color w:val="808080" w:themeColor="text1" w:themeTint="7F"/>
    </w:rPr>
  </w:style>
  <w:style w:type="character" w:styleId="748">
    <w:name w:val="Intense Emphasis"/>
    <w:basedOn w:val="702"/>
    <w:uiPriority w:val="21"/>
    <w:qFormat/>
    <w:pPr>
      <w:pBdr/>
      <w:spacing/>
      <w:ind/>
    </w:pPr>
    <w:rPr>
      <w:b/>
      <w:bCs/>
      <w:i/>
      <w:iCs/>
      <w:color w:val="4f81bd" w:themeColor="accent1"/>
    </w:rPr>
  </w:style>
  <w:style w:type="character" w:styleId="749">
    <w:name w:val="Subtle Reference"/>
    <w:basedOn w:val="702"/>
    <w:uiPriority w:val="31"/>
    <w:qFormat/>
    <w:pPr>
      <w:pBdr/>
      <w:spacing/>
      <w:ind/>
    </w:pPr>
    <w:rPr>
      <w:smallCaps/>
      <w:color w:val="c0504d" w:themeColor="accent2"/>
      <w:u w:val="single"/>
    </w:rPr>
  </w:style>
  <w:style w:type="character" w:styleId="750">
    <w:name w:val="Intense Reference"/>
    <w:basedOn w:val="702"/>
    <w:uiPriority w:val="32"/>
    <w:qFormat/>
    <w:pPr>
      <w:pBdr/>
      <w:spacing/>
      <w:ind/>
    </w:pPr>
    <w:rPr>
      <w:b/>
      <w:bCs/>
      <w:smallCaps/>
      <w:color w:val="c0504d" w:themeColor="accent2"/>
      <w:spacing w:val="5"/>
      <w:u w:val="single"/>
    </w:rPr>
  </w:style>
  <w:style w:type="character" w:styleId="751">
    <w:name w:val="Book Title"/>
    <w:basedOn w:val="702"/>
    <w:uiPriority w:val="33"/>
    <w:qFormat/>
    <w:pPr>
      <w:pBdr/>
      <w:spacing/>
      <w:ind/>
    </w:pPr>
    <w:rPr>
      <w:b/>
      <w:bCs/>
      <w:smallCaps/>
      <w:spacing w:val="5"/>
    </w:rPr>
  </w:style>
  <w:style w:type="paragraph" w:styleId="752">
    <w:name w:val="TOC Heading"/>
    <w:basedOn w:val="693"/>
    <w:next w:val="688"/>
    <w:uiPriority w:val="39"/>
    <w:semiHidden/>
    <w:unhideWhenUsed/>
    <w:qFormat/>
    <w:pPr>
      <w:pBdr/>
      <w:spacing/>
      <w:ind/>
      <w:outlineLvl w:val="9"/>
    </w:pPr>
  </w:style>
  <w:style w:type="table" w:styleId="753">
    <w:name w:val="Table Grid"/>
    <w:basedOn w:val="703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4">
    <w:name w:val="Light Shading"/>
    <w:basedOn w:val="703"/>
    <w:uiPriority w:val="60"/>
    <w:pPr>
      <w:pBdr/>
      <w:spacing w:after="0" w:line="240" w:lineRule="auto"/>
      <w:ind/>
    </w:pPr>
    <w:rPr>
      <w:color w:val="000000" w:themeColor="text1" w:themeShade="BF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sz="8" w:space="0"/>
        <w:bottom w:val="single" w:color="000000" w:themeColor="text1" w:sz="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c0c0c0" w:themeFill="text1" w:themeFillTint="3F"/>
        <w:tcBorders>
          <w:left w:val="none" w:color="000000" w:sz="4" w:space="0"/>
          <w:right w:val="none" w:color="000000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c0c0c0" w:themeFill="text1" w:themeFillTint="3F"/>
        <w:tcBorders>
          <w:left w:val="none" w:color="000000" w:sz="4" w:space="0"/>
          <w:right w:val="none" w:color="000000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000000" w:themeColor="text1" w:sz="8" w:space="0"/>
          <w:left w:val="none" w:color="000000" w:sz="4" w:space="0"/>
          <w:bottom w:val="single" w:color="000000" w:themeColor="text1" w:sz="8" w:space="0"/>
          <w:right w:val="none" w:color="000000" w:sz="4" w:space="0"/>
        </w:tcBorders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000000" w:themeColor="text1" w:sz="8" w:space="0"/>
          <w:left w:val="none" w:color="000000" w:sz="4" w:space="0"/>
          <w:bottom w:val="single" w:color="000000" w:themeColor="text1" w:sz="8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5">
    <w:name w:val="Light Shading Accent 1"/>
    <w:basedOn w:val="703"/>
    <w:uiPriority w:val="60"/>
    <w:pPr>
      <w:pBdr/>
      <w:spacing w:after="0" w:line="240" w:lineRule="auto"/>
      <w:ind/>
    </w:pPr>
    <w:rPr>
      <w:color w:val="365f91" w:themeColor="accent1" w:themeShade="BF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4f81bd" w:themeColor="accent1" w:sz="8" w:space="0"/>
        <w:bottom w:val="single" w:color="4f81bd" w:themeColor="accent1" w:sz="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d3dfee" w:themeFill="accent1" w:themeFillTint="3F"/>
        <w:tcBorders>
          <w:left w:val="none" w:color="000000" w:sz="4" w:space="0"/>
          <w:right w:val="none" w:color="000000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d3dfee" w:themeFill="accent1" w:themeFillTint="3F"/>
        <w:tcBorders>
          <w:left w:val="none" w:color="000000" w:sz="4" w:space="0"/>
          <w:right w:val="none" w:color="000000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4f81bd" w:themeColor="accent1" w:sz="8" w:space="0"/>
          <w:left w:val="none" w:color="000000" w:sz="4" w:space="0"/>
          <w:bottom w:val="single" w:color="4f81bd" w:themeColor="accent1" w:sz="8" w:space="0"/>
          <w:right w:val="none" w:color="000000" w:sz="4" w:space="0"/>
        </w:tcBorders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4f81bd" w:themeColor="accent1" w:sz="8" w:space="0"/>
          <w:left w:val="none" w:color="000000" w:sz="4" w:space="0"/>
          <w:bottom w:val="single" w:color="4f81bd" w:themeColor="accent1" w:sz="8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6">
    <w:name w:val="Light Shading Accent 2"/>
    <w:basedOn w:val="703"/>
    <w:uiPriority w:val="60"/>
    <w:pPr>
      <w:pBdr/>
      <w:spacing w:after="0" w:line="240" w:lineRule="auto"/>
      <w:ind/>
    </w:pPr>
    <w:rPr>
      <w:color w:val="943634" w:themeColor="accent2" w:themeShade="BF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c0504d" w:themeColor="accent2" w:sz="8" w:space="0"/>
        <w:bottom w:val="single" w:color="c0504d" w:themeColor="accent2" w:sz="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efd3d2" w:themeFill="accent2" w:themeFillTint="3F"/>
        <w:tcBorders>
          <w:left w:val="none" w:color="000000" w:sz="4" w:space="0"/>
          <w:right w:val="none" w:color="000000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efd3d2" w:themeFill="accent2" w:themeFillTint="3F"/>
        <w:tcBorders>
          <w:left w:val="none" w:color="000000" w:sz="4" w:space="0"/>
          <w:right w:val="none" w:color="000000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c0504d" w:themeColor="accent2" w:sz="8" w:space="0"/>
          <w:left w:val="none" w:color="000000" w:sz="4" w:space="0"/>
          <w:bottom w:val="single" w:color="c0504d" w:themeColor="accent2" w:sz="8" w:space="0"/>
          <w:right w:val="none" w:color="000000" w:sz="4" w:space="0"/>
        </w:tcBorders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c0504d" w:themeColor="accent2" w:sz="8" w:space="0"/>
          <w:left w:val="none" w:color="000000" w:sz="4" w:space="0"/>
          <w:bottom w:val="single" w:color="c0504d" w:themeColor="accent2" w:sz="8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7">
    <w:name w:val="Light Shading Accent 3"/>
    <w:basedOn w:val="703"/>
    <w:uiPriority w:val="60"/>
    <w:pPr>
      <w:pBdr/>
      <w:spacing w:after="0" w:line="240" w:lineRule="auto"/>
      <w:ind/>
    </w:pPr>
    <w:rPr>
      <w:color w:val="76923c" w:themeColor="accent3" w:themeShade="BF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9bbb59" w:themeColor="accent3" w:sz="8" w:space="0"/>
        <w:bottom w:val="single" w:color="9bbb59" w:themeColor="accent3" w:sz="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e6eed5" w:themeFill="accent3" w:themeFillTint="3F"/>
        <w:tcBorders>
          <w:left w:val="none" w:color="000000" w:sz="4" w:space="0"/>
          <w:right w:val="none" w:color="000000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e6eed5" w:themeFill="accent3" w:themeFillTint="3F"/>
        <w:tcBorders>
          <w:left w:val="none" w:color="000000" w:sz="4" w:space="0"/>
          <w:right w:val="none" w:color="000000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9bbb59" w:themeColor="accent3" w:sz="8" w:space="0"/>
          <w:left w:val="none" w:color="000000" w:sz="4" w:space="0"/>
          <w:bottom w:val="single" w:color="9bbb59" w:themeColor="accent3" w:sz="8" w:space="0"/>
          <w:right w:val="none" w:color="000000" w:sz="4" w:space="0"/>
        </w:tcBorders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9bbb59" w:themeColor="accent3" w:sz="8" w:space="0"/>
          <w:left w:val="none" w:color="000000" w:sz="4" w:space="0"/>
          <w:bottom w:val="single" w:color="9bbb59" w:themeColor="accent3" w:sz="8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8">
    <w:name w:val="Light Shading Accent 4"/>
    <w:basedOn w:val="703"/>
    <w:uiPriority w:val="60"/>
    <w:pPr>
      <w:pBdr/>
      <w:spacing w:after="0" w:line="240" w:lineRule="auto"/>
      <w:ind/>
    </w:pPr>
    <w:rPr>
      <w:color w:val="5f497a" w:themeColor="accent4" w:themeShade="BF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8064a2" w:themeColor="accent4" w:sz="8" w:space="0"/>
        <w:bottom w:val="single" w:color="8064a2" w:themeColor="accent4" w:sz="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dfd8e8" w:themeFill="accent4" w:themeFillTint="3F"/>
        <w:tcBorders>
          <w:left w:val="none" w:color="000000" w:sz="4" w:space="0"/>
          <w:right w:val="none" w:color="000000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dfd8e8" w:themeFill="accent4" w:themeFillTint="3F"/>
        <w:tcBorders>
          <w:left w:val="none" w:color="000000" w:sz="4" w:space="0"/>
          <w:right w:val="none" w:color="000000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8064a2" w:themeColor="accent4" w:sz="8" w:space="0"/>
          <w:left w:val="none" w:color="000000" w:sz="4" w:space="0"/>
          <w:bottom w:val="single" w:color="8064a2" w:themeColor="accent4" w:sz="8" w:space="0"/>
          <w:right w:val="none" w:color="000000" w:sz="4" w:space="0"/>
        </w:tcBorders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8064a2" w:themeColor="accent4" w:sz="8" w:space="0"/>
          <w:left w:val="none" w:color="000000" w:sz="4" w:space="0"/>
          <w:bottom w:val="single" w:color="8064a2" w:themeColor="accent4" w:sz="8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9">
    <w:name w:val="Light Shading Accent 5"/>
    <w:basedOn w:val="703"/>
    <w:uiPriority w:val="60"/>
    <w:pPr>
      <w:pBdr/>
      <w:spacing w:after="0" w:line="240" w:lineRule="auto"/>
      <w:ind/>
    </w:pPr>
    <w:rPr>
      <w:color w:val="31849b" w:themeColor="accent5" w:themeShade="BF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4bacc6" w:themeColor="accent5" w:sz="8" w:space="0"/>
        <w:bottom w:val="single" w:color="4bacc6" w:themeColor="accent5" w:sz="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d2eaf1" w:themeFill="accent5" w:themeFillTint="3F"/>
        <w:tcBorders>
          <w:left w:val="none" w:color="000000" w:sz="4" w:space="0"/>
          <w:right w:val="none" w:color="000000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d2eaf1" w:themeFill="accent5" w:themeFillTint="3F"/>
        <w:tcBorders>
          <w:left w:val="none" w:color="000000" w:sz="4" w:space="0"/>
          <w:right w:val="none" w:color="000000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4bacc6" w:themeColor="accent5" w:sz="8" w:space="0"/>
          <w:left w:val="none" w:color="000000" w:sz="4" w:space="0"/>
          <w:bottom w:val="single" w:color="4bacc6" w:themeColor="accent5" w:sz="8" w:space="0"/>
          <w:right w:val="none" w:color="000000" w:sz="4" w:space="0"/>
        </w:tcBorders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4bacc6" w:themeColor="accent5" w:sz="8" w:space="0"/>
          <w:left w:val="none" w:color="000000" w:sz="4" w:space="0"/>
          <w:bottom w:val="single" w:color="4bacc6" w:themeColor="accent5" w:sz="8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0">
    <w:name w:val="Light Shading Accent 6"/>
    <w:basedOn w:val="703"/>
    <w:uiPriority w:val="60"/>
    <w:pPr>
      <w:pBdr/>
      <w:spacing w:after="0" w:line="240" w:lineRule="auto"/>
      <w:ind/>
    </w:pPr>
    <w:rPr>
      <w:color w:val="e36c0a" w:themeColor="accent6" w:themeShade="BF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f79646" w:themeColor="accent6" w:sz="8" w:space="0"/>
        <w:bottom w:val="single" w:color="f79646" w:themeColor="accent6" w:sz="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fde4d0" w:themeFill="accent6" w:themeFillTint="3F"/>
        <w:tcBorders>
          <w:left w:val="none" w:color="000000" w:sz="4" w:space="0"/>
          <w:right w:val="none" w:color="000000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fde4d0" w:themeFill="accent6" w:themeFillTint="3F"/>
        <w:tcBorders>
          <w:left w:val="none" w:color="000000" w:sz="4" w:space="0"/>
          <w:right w:val="none" w:color="000000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f79646" w:themeColor="accent6" w:sz="8" w:space="0"/>
          <w:left w:val="none" w:color="000000" w:sz="4" w:space="0"/>
          <w:bottom w:val="single" w:color="f79646" w:themeColor="accent6" w:sz="8" w:space="0"/>
          <w:right w:val="none" w:color="000000" w:sz="4" w:space="0"/>
        </w:tcBorders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f79646" w:themeColor="accent6" w:sz="8" w:space="0"/>
          <w:left w:val="none" w:color="000000" w:sz="4" w:space="0"/>
          <w:bottom w:val="single" w:color="f79646" w:themeColor="accent6" w:sz="8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1">
    <w:name w:val="Light List"/>
    <w:basedOn w:val="703"/>
    <w:uiPriority w:val="61"/>
    <w:pPr>
      <w:pBdr/>
      <w:spacing w:after="0" w:line="240" w:lineRule="auto"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bCs/>
        <w:color w:val="ffffff" w:themeColor="background1"/>
      </w:rPr>
      <w:pPr>
        <w:pBdr/>
        <w:spacing w:after="0" w:before="0" w:line="240" w:lineRule="auto"/>
        <w:ind/>
      </w:pPr>
      <w:tblPr>
        <w:tblBorders/>
      </w:tblPr>
      <w:tcPr>
        <w:shd w:val="clear" w:color="auto" w:fill="000000" w:themeFill="text1"/>
        <w:tcBorders/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2">
    <w:name w:val="Light List Accent 1"/>
    <w:basedOn w:val="703"/>
    <w:uiPriority w:val="61"/>
    <w:pPr>
      <w:pBdr/>
      <w:spacing w:after="0" w:line="240" w:lineRule="auto"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bCs/>
        <w:color w:val="ffffff" w:themeColor="background1"/>
      </w:rPr>
      <w:pPr>
        <w:pBdr/>
        <w:spacing w:after="0" w:before="0" w:line="240" w:lineRule="auto"/>
        <w:ind/>
      </w:pPr>
      <w:tblPr>
        <w:tblBorders/>
      </w:tblPr>
      <w:tcPr>
        <w:shd w:val="clear" w:color="auto" w:fill="4f81bd" w:themeFill="accent1"/>
        <w:tcBorders/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3">
    <w:name w:val="Light List Accent 2"/>
    <w:basedOn w:val="703"/>
    <w:uiPriority w:val="61"/>
    <w:pPr>
      <w:pBdr/>
      <w:spacing w:after="0" w:line="240" w:lineRule="auto"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bCs/>
        <w:color w:val="ffffff" w:themeColor="background1"/>
      </w:rPr>
      <w:pPr>
        <w:pBdr/>
        <w:spacing w:after="0" w:before="0" w:line="240" w:lineRule="auto"/>
        <w:ind/>
      </w:pPr>
      <w:tblPr>
        <w:tblBorders/>
      </w:tblPr>
      <w:tcPr>
        <w:shd w:val="clear" w:color="auto" w:fill="c0504d" w:themeFill="accent2"/>
        <w:tcBorders/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4">
    <w:name w:val="Light List Accent 3"/>
    <w:basedOn w:val="703"/>
    <w:uiPriority w:val="61"/>
    <w:pPr>
      <w:pBdr/>
      <w:spacing w:after="0" w:line="240" w:lineRule="auto"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bCs/>
        <w:color w:val="ffffff" w:themeColor="background1"/>
      </w:rPr>
      <w:pPr>
        <w:pBdr/>
        <w:spacing w:after="0" w:before="0" w:line="240" w:lineRule="auto"/>
        <w:ind/>
      </w:pPr>
      <w:tblPr>
        <w:tblBorders/>
      </w:tblPr>
      <w:tcPr>
        <w:shd w:val="clear" w:color="auto" w:fill="9bbb59" w:themeFill="accent3"/>
        <w:tcBorders/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5">
    <w:name w:val="Light List Accent 4"/>
    <w:basedOn w:val="703"/>
    <w:uiPriority w:val="61"/>
    <w:pPr>
      <w:pBdr/>
      <w:spacing w:after="0" w:line="240" w:lineRule="auto"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bCs/>
        <w:color w:val="ffffff" w:themeColor="background1"/>
      </w:rPr>
      <w:pPr>
        <w:pBdr/>
        <w:spacing w:after="0" w:before="0" w:line="240" w:lineRule="auto"/>
        <w:ind/>
      </w:pPr>
      <w:tblPr>
        <w:tblBorders/>
      </w:tblPr>
      <w:tcPr>
        <w:shd w:val="clear" w:color="auto" w:fill="8064a2" w:themeFill="accent4"/>
        <w:tcBorders/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6">
    <w:name w:val="Light List Accent 5"/>
    <w:basedOn w:val="703"/>
    <w:uiPriority w:val="61"/>
    <w:pPr>
      <w:pBdr/>
      <w:spacing w:after="0" w:line="240" w:lineRule="auto"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bCs/>
        <w:color w:val="ffffff" w:themeColor="background1"/>
      </w:rPr>
      <w:pPr>
        <w:pBdr/>
        <w:spacing w:after="0" w:before="0" w:line="240" w:lineRule="auto"/>
        <w:ind/>
      </w:pPr>
      <w:tblPr>
        <w:tblBorders/>
      </w:tblPr>
      <w:tcPr>
        <w:shd w:val="clear" w:color="auto" w:fill="4bacc6" w:themeFill="accent5"/>
        <w:tcBorders/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7">
    <w:name w:val="Light List Accent 6"/>
    <w:basedOn w:val="703"/>
    <w:uiPriority w:val="61"/>
    <w:pPr>
      <w:pBdr/>
      <w:spacing w:after="0" w:line="240" w:lineRule="auto"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bCs/>
        <w:color w:val="ffffff" w:themeColor="background1"/>
      </w:rPr>
      <w:pPr>
        <w:pBdr/>
        <w:spacing w:after="0" w:before="0" w:line="240" w:lineRule="auto"/>
        <w:ind/>
      </w:pPr>
      <w:tblPr>
        <w:tblBorders/>
      </w:tblPr>
      <w:tcPr>
        <w:shd w:val="clear" w:color="auto" w:fill="f79646" w:themeFill="accent6"/>
        <w:tcBorders/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8">
    <w:name w:val="Light Grid"/>
    <w:basedOn w:val="703"/>
    <w:uiPriority w:val="62"/>
    <w:pPr>
      <w:pBdr/>
      <w:spacing w:after="0" w:line="240" w:lineRule="auto"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c0c0c0" w:themeFill="text1" w:themeFillTint="3F"/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c0c0c0" w:themeFill="text1" w:themeFillTint="3F"/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Theme="majorHAnsi" w:hAnsiTheme="majorHAnsi" w:eastAsiaTheme="majorEastAsia" w:cstheme="majorBidi"/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Theme="majorHAnsi" w:hAnsiTheme="majorHAnsi" w:eastAsiaTheme="majorEastAsia" w:cstheme="majorBidi"/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</w:tcBorders>
      </w:tcPr>
    </w:tblStylePr>
    <w:tblStylePr w:type="lastCol">
      <w:rPr>
        <w:rFonts w:asciiTheme="majorHAnsi" w:hAnsiTheme="majorHAnsi" w:eastAsiaTheme="majorEastAsia" w:cstheme="majorBidi"/>
        <w:b/>
        <w:bCs/>
      </w:rPr>
      <w:pPr>
        <w:pBdr/>
        <w:spacing/>
        <w:ind/>
      </w:pPr>
      <w:tblPr>
        <w:tblBorders/>
      </w:tblPr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lastRow">
      <w:rPr>
        <w:rFonts w:asciiTheme="majorHAnsi" w:hAnsiTheme="majorHAnsi" w:eastAsiaTheme="majorEastAsia" w:cstheme="majorBidi"/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9">
    <w:name w:val="Light Grid Accent 1"/>
    <w:basedOn w:val="703"/>
    <w:uiPriority w:val="62"/>
    <w:pPr>
      <w:pBdr/>
      <w:spacing w:after="0" w:line="240" w:lineRule="auto"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d3dfee" w:themeFill="accent1" w:themeFillTint="3F"/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d3dfee" w:themeFill="accent1" w:themeFillTint="3F"/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Theme="majorHAnsi" w:hAnsiTheme="majorHAnsi" w:eastAsiaTheme="majorEastAsia" w:cstheme="majorBidi"/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Theme="majorHAnsi" w:hAnsiTheme="majorHAnsi" w:eastAsiaTheme="majorEastAsia" w:cstheme="majorBidi"/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</w:tcBorders>
      </w:tcPr>
    </w:tblStylePr>
    <w:tblStylePr w:type="lastCol">
      <w:rPr>
        <w:rFonts w:asciiTheme="majorHAnsi" w:hAnsiTheme="majorHAnsi" w:eastAsiaTheme="majorEastAsia" w:cstheme="majorBidi"/>
        <w:b/>
        <w:bCs/>
      </w:rPr>
      <w:pPr>
        <w:pBdr/>
        <w:spacing/>
        <w:ind/>
      </w:pPr>
      <w:tblPr>
        <w:tblBorders/>
      </w:tblPr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lastRow">
      <w:rPr>
        <w:rFonts w:asciiTheme="majorHAnsi" w:hAnsiTheme="majorHAnsi" w:eastAsiaTheme="majorEastAsia" w:cstheme="majorBidi"/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0">
    <w:name w:val="Light Grid Accent 2"/>
    <w:basedOn w:val="703"/>
    <w:uiPriority w:val="62"/>
    <w:pPr>
      <w:pBdr/>
      <w:spacing w:after="0" w:line="240" w:lineRule="auto"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efd3d2" w:themeFill="accent2" w:themeFillTint="3F"/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efd3d2" w:themeFill="accent2" w:themeFillTint="3F"/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Theme="majorHAnsi" w:hAnsiTheme="majorHAnsi" w:eastAsiaTheme="majorEastAsia" w:cstheme="majorBidi"/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Theme="majorHAnsi" w:hAnsiTheme="majorHAnsi" w:eastAsiaTheme="majorEastAsia" w:cstheme="majorBidi"/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</w:tcBorders>
      </w:tcPr>
    </w:tblStylePr>
    <w:tblStylePr w:type="lastCol">
      <w:rPr>
        <w:rFonts w:asciiTheme="majorHAnsi" w:hAnsiTheme="majorHAnsi" w:eastAsiaTheme="majorEastAsia" w:cstheme="majorBidi"/>
        <w:b/>
        <w:bCs/>
      </w:rPr>
      <w:pPr>
        <w:pBdr/>
        <w:spacing/>
        <w:ind/>
      </w:pPr>
      <w:tblPr>
        <w:tblBorders/>
      </w:tblPr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lastRow">
      <w:rPr>
        <w:rFonts w:asciiTheme="majorHAnsi" w:hAnsiTheme="majorHAnsi" w:eastAsiaTheme="majorEastAsia" w:cstheme="majorBidi"/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1">
    <w:name w:val="Light Grid Accent 3"/>
    <w:basedOn w:val="703"/>
    <w:uiPriority w:val="62"/>
    <w:pPr>
      <w:pBdr/>
      <w:spacing w:after="0" w:line="240" w:lineRule="auto"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e6eed5" w:themeFill="accent3" w:themeFillTint="3F"/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e6eed5" w:themeFill="accent3" w:themeFillTint="3F"/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Theme="majorHAnsi" w:hAnsiTheme="majorHAnsi" w:eastAsiaTheme="majorEastAsia" w:cstheme="majorBidi"/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Theme="majorHAnsi" w:hAnsiTheme="majorHAnsi" w:eastAsiaTheme="majorEastAsia" w:cstheme="majorBidi"/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</w:tcBorders>
      </w:tcPr>
    </w:tblStylePr>
    <w:tblStylePr w:type="lastCol">
      <w:rPr>
        <w:rFonts w:asciiTheme="majorHAnsi" w:hAnsiTheme="majorHAnsi" w:eastAsiaTheme="majorEastAsia" w:cstheme="majorBidi"/>
        <w:b/>
        <w:bCs/>
      </w:rPr>
      <w:pPr>
        <w:pBdr/>
        <w:spacing/>
        <w:ind/>
      </w:pPr>
      <w:tblPr>
        <w:tblBorders/>
      </w:tblPr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lastRow">
      <w:rPr>
        <w:rFonts w:asciiTheme="majorHAnsi" w:hAnsiTheme="majorHAnsi" w:eastAsiaTheme="majorEastAsia" w:cstheme="majorBidi"/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2">
    <w:name w:val="Light Grid Accent 4"/>
    <w:basedOn w:val="703"/>
    <w:uiPriority w:val="62"/>
    <w:pPr>
      <w:pBdr/>
      <w:spacing w:after="0" w:line="240" w:lineRule="auto"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dfd8e8" w:themeFill="accent4" w:themeFillTint="3F"/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dfd8e8" w:themeFill="accent4" w:themeFillTint="3F"/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Theme="majorHAnsi" w:hAnsiTheme="majorHAnsi" w:eastAsiaTheme="majorEastAsia" w:cstheme="majorBidi"/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Theme="majorHAnsi" w:hAnsiTheme="majorHAnsi" w:eastAsiaTheme="majorEastAsia" w:cstheme="majorBidi"/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</w:tcBorders>
      </w:tcPr>
    </w:tblStylePr>
    <w:tblStylePr w:type="lastCol">
      <w:rPr>
        <w:rFonts w:asciiTheme="majorHAnsi" w:hAnsiTheme="majorHAnsi" w:eastAsiaTheme="majorEastAsia" w:cstheme="majorBidi"/>
        <w:b/>
        <w:bCs/>
      </w:rPr>
      <w:pPr>
        <w:pBdr/>
        <w:spacing/>
        <w:ind/>
      </w:pPr>
      <w:tblPr>
        <w:tblBorders/>
      </w:tblPr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lastRow">
      <w:rPr>
        <w:rFonts w:asciiTheme="majorHAnsi" w:hAnsiTheme="majorHAnsi" w:eastAsiaTheme="majorEastAsia" w:cstheme="majorBidi"/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3">
    <w:name w:val="Light Grid Accent 5"/>
    <w:basedOn w:val="703"/>
    <w:uiPriority w:val="62"/>
    <w:pPr>
      <w:pBdr/>
      <w:spacing w:after="0" w:line="240" w:lineRule="auto"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d2eaf1" w:themeFill="accent5" w:themeFillTint="3F"/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d2eaf1" w:themeFill="accent5" w:themeFillTint="3F"/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Theme="majorHAnsi" w:hAnsiTheme="majorHAnsi" w:eastAsiaTheme="majorEastAsia" w:cstheme="majorBidi"/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Theme="majorHAnsi" w:hAnsiTheme="majorHAnsi" w:eastAsiaTheme="majorEastAsia" w:cstheme="majorBidi"/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</w:tcBorders>
      </w:tcPr>
    </w:tblStylePr>
    <w:tblStylePr w:type="lastCol">
      <w:rPr>
        <w:rFonts w:asciiTheme="majorHAnsi" w:hAnsiTheme="majorHAnsi" w:eastAsiaTheme="majorEastAsia" w:cstheme="majorBidi"/>
        <w:b/>
        <w:bCs/>
      </w:rPr>
      <w:pPr>
        <w:pBdr/>
        <w:spacing/>
        <w:ind/>
      </w:pPr>
      <w:tblPr>
        <w:tblBorders/>
      </w:tblPr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lastRow">
      <w:rPr>
        <w:rFonts w:asciiTheme="majorHAnsi" w:hAnsiTheme="majorHAnsi" w:eastAsiaTheme="majorEastAsia" w:cstheme="majorBidi"/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4">
    <w:name w:val="Light Grid Accent 6"/>
    <w:basedOn w:val="703"/>
    <w:uiPriority w:val="62"/>
    <w:pPr>
      <w:pBdr/>
      <w:spacing w:after="0" w:line="240" w:lineRule="auto"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fde4d0" w:themeFill="accent6" w:themeFillTint="3F"/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fde4d0" w:themeFill="accent6" w:themeFillTint="3F"/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Theme="majorHAnsi" w:hAnsiTheme="majorHAnsi" w:eastAsiaTheme="majorEastAsia" w:cstheme="majorBidi"/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Theme="majorHAnsi" w:hAnsiTheme="majorHAnsi" w:eastAsiaTheme="majorEastAsia" w:cstheme="majorBidi"/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</w:tcBorders>
      </w:tcPr>
    </w:tblStylePr>
    <w:tblStylePr w:type="lastCol">
      <w:rPr>
        <w:rFonts w:asciiTheme="majorHAnsi" w:hAnsiTheme="majorHAnsi" w:eastAsiaTheme="majorEastAsia" w:cstheme="majorBidi"/>
        <w:b/>
        <w:bCs/>
      </w:rPr>
      <w:pPr>
        <w:pBdr/>
        <w:spacing/>
        <w:ind/>
      </w:pPr>
      <w:tblPr>
        <w:tblBorders/>
      </w:tblPr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lastRow">
      <w:rPr>
        <w:rFonts w:asciiTheme="majorHAnsi" w:hAnsiTheme="majorHAnsi" w:eastAsiaTheme="majorEastAsia" w:cstheme="majorBidi"/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5">
    <w:name w:val="Medium Shading 1"/>
    <w:basedOn w:val="703"/>
    <w:uiPriority w:val="63"/>
    <w:pPr>
      <w:pBdr/>
      <w:spacing w:after="0" w:line="240" w:lineRule="auto"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c0c0c0" w:themeFill="text1" w:themeFillTint="3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c0c0c0" w:themeFill="text1" w:themeFillTint="3F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bCs/>
        <w:color w:val="ffffff" w:themeColor="background1"/>
      </w:rPr>
      <w:pPr>
        <w:pBdr/>
        <w:spacing w:after="0" w:before="0" w:line="240" w:lineRule="auto"/>
        <w:ind/>
      </w:pPr>
      <w:tblPr>
        <w:tblBorders/>
      </w:tblPr>
      <w:tcPr>
        <w:shd w:val="clear" w:color="auto" w:fill="000000" w:themeFill="text1"/>
        <w:tcBorders>
          <w:top w:val="single" w:color="404040" w:themeColor="text1" w:themeTint="BF" w:sz="8" w:space="0"/>
          <w:left w:val="single" w:color="404040" w:themeColor="text1" w:themeTint="BF" w:sz="8" w:space="0"/>
          <w:bottom w:val="single" w:color="404040" w:themeColor="text1" w:themeTint="BF" w:sz="8" w:space="0"/>
          <w:right w:val="single" w:color="404040" w:themeColor="text1" w:themeTint="BF" w:sz="8" w:space="0"/>
        </w:tcBorders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404040" w:themeColor="text1" w:themeTint="BF" w:sz="6" w:space="0"/>
          <w:left w:val="single" w:color="404040" w:themeColor="text1" w:themeTint="BF" w:sz="8" w:space="0"/>
          <w:bottom w:val="single" w:color="404040" w:themeColor="text1" w:themeTint="BF" w:sz="8" w:space="0"/>
          <w:right w:val="single" w:color="404040" w:themeColor="text1" w:themeTint="BF" w:sz="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6">
    <w:name w:val="Medium Shading 1 Accent 1"/>
    <w:basedOn w:val="703"/>
    <w:uiPriority w:val="63"/>
    <w:pPr>
      <w:pBdr/>
      <w:spacing w:after="0" w:line="240" w:lineRule="auto"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d3dfee" w:themeFill="accent1" w:themeFillTint="3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d3dfee" w:themeFill="accent1" w:themeFillTint="3F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bCs/>
        <w:color w:val="ffffff" w:themeColor="background1"/>
      </w:rPr>
      <w:pPr>
        <w:pBdr/>
        <w:spacing w:after="0" w:before="0" w:line="240" w:lineRule="auto"/>
        <w:ind/>
      </w:pPr>
      <w:tblPr>
        <w:tblBorders/>
      </w:tblPr>
      <w:tcPr>
        <w:shd w:val="clear" w:color="auto" w:fill="4f81bd" w:themeFill="accent1"/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</w:tcBorders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7">
    <w:name w:val="Medium Shading 1 Accent 2"/>
    <w:basedOn w:val="703"/>
    <w:uiPriority w:val="63"/>
    <w:pPr>
      <w:pBdr/>
      <w:spacing w:after="0" w:line="240" w:lineRule="auto"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efd3d2" w:themeFill="accent2" w:themeFillTint="3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efd3d2" w:themeFill="accent2" w:themeFillTint="3F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bCs/>
        <w:color w:val="ffffff" w:themeColor="background1"/>
      </w:rPr>
      <w:pPr>
        <w:pBdr/>
        <w:spacing w:after="0" w:before="0" w:line="240" w:lineRule="auto"/>
        <w:ind/>
      </w:pPr>
      <w:tblPr>
        <w:tblBorders/>
      </w:tblPr>
      <w:tcPr>
        <w:shd w:val="clear" w:color="auto" w:fill="c0504d" w:themeFill="accent2"/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</w:tcBorders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8">
    <w:name w:val="Medium Shading 1 Accent 3"/>
    <w:basedOn w:val="703"/>
    <w:uiPriority w:val="63"/>
    <w:pPr>
      <w:pBdr/>
      <w:spacing w:after="0" w:line="240" w:lineRule="auto"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e6eed5" w:themeFill="accent3" w:themeFillTint="3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e6eed5" w:themeFill="accent3" w:themeFillTint="3F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bCs/>
        <w:color w:val="ffffff" w:themeColor="background1"/>
      </w:rPr>
      <w:pPr>
        <w:pBdr/>
        <w:spacing w:after="0" w:before="0" w:line="240" w:lineRule="auto"/>
        <w:ind/>
      </w:pPr>
      <w:tblPr>
        <w:tblBorders/>
      </w:tblPr>
      <w:tcPr>
        <w:shd w:val="clear" w:color="auto" w:fill="9bbb59" w:themeFill="accent3"/>
        <w:tcBorders>
          <w:top w:val="single" w:color="b3cc82" w:themeColor="accent3" w:themeTint="BF" w:sz="8" w:space="0"/>
          <w:left w:val="single" w:color="b3cc82" w:themeColor="accent3" w:themeTint="BF" w:sz="8" w:space="0"/>
          <w:bottom w:val="single" w:color="b3cc82" w:themeColor="accent3" w:themeTint="BF" w:sz="8" w:space="0"/>
          <w:right w:val="single" w:color="b3cc82" w:themeColor="accent3" w:themeTint="BF" w:sz="8" w:space="0"/>
        </w:tcBorders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b3cc82" w:themeColor="accent3" w:themeTint="BF" w:sz="6" w:space="0"/>
          <w:left w:val="single" w:color="b3cc82" w:themeColor="accent3" w:themeTint="BF" w:sz="8" w:space="0"/>
          <w:bottom w:val="single" w:color="b3cc82" w:themeColor="accent3" w:themeTint="BF" w:sz="8" w:space="0"/>
          <w:right w:val="single" w:color="b3cc82" w:themeColor="accent3" w:themeTint="BF" w:sz="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9">
    <w:name w:val="Medium Shading 1 Accent 4"/>
    <w:basedOn w:val="703"/>
    <w:uiPriority w:val="63"/>
    <w:pPr>
      <w:pBdr/>
      <w:spacing w:after="0" w:line="240" w:lineRule="auto"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dfd8e8" w:themeFill="accent4" w:themeFillTint="3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dfd8e8" w:themeFill="accent4" w:themeFillTint="3F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bCs/>
        <w:color w:val="ffffff" w:themeColor="background1"/>
      </w:rPr>
      <w:pPr>
        <w:pBdr/>
        <w:spacing w:after="0" w:before="0" w:line="240" w:lineRule="auto"/>
        <w:ind/>
      </w:pPr>
      <w:tblPr>
        <w:tblBorders/>
      </w:tblPr>
      <w:tcPr>
        <w:shd w:val="clear" w:color="auto" w:fill="8064a2" w:themeFill="accent4"/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</w:tcBorders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0">
    <w:name w:val="Medium Shading 1 Accent 5"/>
    <w:basedOn w:val="703"/>
    <w:uiPriority w:val="63"/>
    <w:pPr>
      <w:pBdr/>
      <w:spacing w:after="0" w:line="240" w:lineRule="auto"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d2eaf1" w:themeFill="accent5" w:themeFillTint="3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d2eaf1" w:themeFill="accent5" w:themeFillTint="3F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bCs/>
        <w:color w:val="ffffff" w:themeColor="background1"/>
      </w:rPr>
      <w:pPr>
        <w:pBdr/>
        <w:spacing w:after="0" w:before="0" w:line="240" w:lineRule="auto"/>
        <w:ind/>
      </w:pPr>
      <w:tblPr>
        <w:tblBorders/>
      </w:tblPr>
      <w:tcPr>
        <w:shd w:val="clear" w:color="auto" w:fill="4bacc6" w:themeFill="accent5"/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</w:tcBorders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1">
    <w:name w:val="Medium Shading 1 Accent 6"/>
    <w:basedOn w:val="703"/>
    <w:uiPriority w:val="63"/>
    <w:pPr>
      <w:pBdr/>
      <w:spacing w:after="0" w:line="240" w:lineRule="auto"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fde4d0" w:themeFill="accent6" w:themeFillTint="3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fde4d0" w:themeFill="accent6" w:themeFillTint="3F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bCs/>
        <w:color w:val="ffffff" w:themeColor="background1"/>
      </w:rPr>
      <w:pPr>
        <w:pBdr/>
        <w:spacing w:after="0" w:before="0" w:line="240" w:lineRule="auto"/>
        <w:ind/>
      </w:pPr>
      <w:tblPr>
        <w:tblBorders/>
      </w:tblPr>
      <w:tcPr>
        <w:shd w:val="clear" w:color="auto" w:fill="f79646" w:themeFill="accent6"/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</w:tcBorders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2">
    <w:name w:val="Medium Shading 2"/>
    <w:basedOn w:val="703"/>
    <w:uiPriority w:val="64"/>
    <w:pPr>
      <w:pBdr/>
      <w:spacing w:after="0" w:line="240" w:lineRule="auto"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sz="18" w:space="0"/>
        <w:bottom w:val="single" w:color="000000" w:sz="1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d8d8d8" w:themeFill="background1" w:themeFillShade="D8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d8d8d8" w:themeFill="background1" w:themeFillShade="D8"/>
        <w:tcBorders>
          <w:left w:val="none" w:color="000000" w:sz="4" w:space="0"/>
          <w:right w:val="none" w:color="000000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000000" w:themeFill="text1"/>
        <w:tcBorders>
          <w:top w:val="none" w:color="000000" w:sz="4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firstRow">
      <w:rPr>
        <w:b/>
        <w:bCs/>
        <w:color w:val="ffffff" w:themeColor="background1"/>
      </w:rPr>
      <w:pPr>
        <w:pBdr/>
        <w:spacing w:after="0" w:before="0" w:line="240" w:lineRule="auto"/>
        <w:ind/>
      </w:pPr>
      <w:tblPr>
        <w:tblBorders/>
      </w:tblPr>
      <w:tcPr>
        <w:shd w:val="clear" w:color="auto" w:fill="000000" w:themeFill="text1"/>
        <w:tcBorders>
          <w:top w:val="single" w:color="000000" w:sz="18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lastCol">
      <w:rPr>
        <w:b/>
        <w:bCs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000000" w:themeFill="text1"/>
        <w:tcBorders>
          <w:left w:val="none" w:color="000000" w:sz="4" w:space="0"/>
          <w:right w:val="none" w:color="000000" w:sz="4" w:space="0"/>
        </w:tcBorders>
      </w:tcPr>
    </w:tblStylePr>
    <w:tblStylePr w:type="lastRow">
      <w:rPr>
        <w:color w:val="auto"/>
      </w:rPr>
      <w:pPr>
        <w:pBdr/>
        <w:spacing w:after="0" w:before="0" w:line="240" w:lineRule="auto"/>
        <w:ind/>
      </w:pPr>
      <w:tblPr>
        <w:tblBorders/>
      </w:tblPr>
      <w:tcPr>
        <w:shd w:val="clear" w:color="auto" w:fill="ffffff" w:themeFill="background1"/>
        <w:tcBorders>
          <w:top w:val="single" w:color="000000" w:sz="6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nwCell">
      <w:rPr>
        <w:color w:val="ffffff" w:themeColor="background1"/>
      </w:rPr>
      <w:pPr>
        <w:pBdr/>
        <w:spacing/>
        <w:ind/>
      </w:pPr>
      <w:tblPr>
        <w:tblBorders/>
      </w:tblPr>
      <w:tcPr>
        <w:tcBorders>
          <w:top w:val="single" w:color="000000" w:sz="18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neCell">
      <w:pPr>
        <w:pBdr/>
        <w:spacing/>
        <w:ind/>
      </w:pPr>
      <w:tblPr>
        <w:tblBorders/>
      </w:tblPr>
      <w:tcPr>
        <w:tcBorders>
          <w:top w:val="single" w:color="000000" w:sz="18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3">
    <w:name w:val="Medium Shading 2 Accent 1"/>
    <w:basedOn w:val="703"/>
    <w:uiPriority w:val="64"/>
    <w:pPr>
      <w:pBdr/>
      <w:spacing w:after="0" w:line="240" w:lineRule="auto"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sz="18" w:space="0"/>
        <w:bottom w:val="single" w:color="000000" w:sz="1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d8d8d8" w:themeFill="background1" w:themeFillShade="D8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d8d8d8" w:themeFill="background1" w:themeFillShade="D8"/>
        <w:tcBorders>
          <w:left w:val="none" w:color="000000" w:sz="4" w:space="0"/>
          <w:right w:val="none" w:color="000000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4f81bd" w:themeFill="accent1"/>
        <w:tcBorders>
          <w:top w:val="none" w:color="000000" w:sz="4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firstRow">
      <w:rPr>
        <w:b/>
        <w:bCs/>
        <w:color w:val="ffffff" w:themeColor="background1"/>
      </w:rPr>
      <w:pPr>
        <w:pBdr/>
        <w:spacing w:after="0" w:before="0" w:line="240" w:lineRule="auto"/>
        <w:ind/>
      </w:pPr>
      <w:tblPr>
        <w:tblBorders/>
      </w:tblPr>
      <w:tcPr>
        <w:shd w:val="clear" w:color="auto" w:fill="4f81bd" w:themeFill="accent1"/>
        <w:tcBorders>
          <w:top w:val="single" w:color="000000" w:sz="18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lastCol">
      <w:rPr>
        <w:b/>
        <w:bCs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4f81bd" w:themeFill="accent1"/>
        <w:tcBorders>
          <w:left w:val="none" w:color="000000" w:sz="4" w:space="0"/>
          <w:right w:val="none" w:color="000000" w:sz="4" w:space="0"/>
        </w:tcBorders>
      </w:tcPr>
    </w:tblStylePr>
    <w:tblStylePr w:type="lastRow">
      <w:rPr>
        <w:color w:val="auto"/>
      </w:rPr>
      <w:pPr>
        <w:pBdr/>
        <w:spacing w:after="0" w:before="0" w:line="240" w:lineRule="auto"/>
        <w:ind/>
      </w:pPr>
      <w:tblPr>
        <w:tblBorders/>
      </w:tblPr>
      <w:tcPr>
        <w:shd w:val="clear" w:color="auto" w:fill="ffffff" w:themeFill="background1"/>
        <w:tcBorders>
          <w:top w:val="single" w:color="000000" w:sz="6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nwCell">
      <w:rPr>
        <w:color w:val="ffffff" w:themeColor="background1"/>
      </w:rPr>
      <w:pPr>
        <w:pBdr/>
        <w:spacing/>
        <w:ind/>
      </w:pPr>
      <w:tblPr>
        <w:tblBorders/>
      </w:tblPr>
      <w:tcPr>
        <w:tcBorders>
          <w:top w:val="single" w:color="000000" w:sz="18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neCell">
      <w:pPr>
        <w:pBdr/>
        <w:spacing/>
        <w:ind/>
      </w:pPr>
      <w:tblPr>
        <w:tblBorders/>
      </w:tblPr>
      <w:tcPr>
        <w:tcBorders>
          <w:top w:val="single" w:color="000000" w:sz="18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4">
    <w:name w:val="Medium Shading 2 Accent 2"/>
    <w:basedOn w:val="703"/>
    <w:uiPriority w:val="64"/>
    <w:pPr>
      <w:pBdr/>
      <w:spacing w:after="0" w:line="240" w:lineRule="auto"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sz="18" w:space="0"/>
        <w:bottom w:val="single" w:color="000000" w:sz="1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d8d8d8" w:themeFill="background1" w:themeFillShade="D8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d8d8d8" w:themeFill="background1" w:themeFillShade="D8"/>
        <w:tcBorders>
          <w:left w:val="none" w:color="000000" w:sz="4" w:space="0"/>
          <w:right w:val="none" w:color="000000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c0504d" w:themeFill="accent2"/>
        <w:tcBorders>
          <w:top w:val="none" w:color="000000" w:sz="4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firstRow">
      <w:rPr>
        <w:b/>
        <w:bCs/>
        <w:color w:val="ffffff" w:themeColor="background1"/>
      </w:rPr>
      <w:pPr>
        <w:pBdr/>
        <w:spacing w:after="0" w:before="0" w:line="240" w:lineRule="auto"/>
        <w:ind/>
      </w:pPr>
      <w:tblPr>
        <w:tblBorders/>
      </w:tblPr>
      <w:tcPr>
        <w:shd w:val="clear" w:color="auto" w:fill="c0504d" w:themeFill="accent2"/>
        <w:tcBorders>
          <w:top w:val="single" w:color="000000" w:sz="18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lastCol">
      <w:rPr>
        <w:b/>
        <w:bCs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c0504d" w:themeFill="accent2"/>
        <w:tcBorders>
          <w:left w:val="none" w:color="000000" w:sz="4" w:space="0"/>
          <w:right w:val="none" w:color="000000" w:sz="4" w:space="0"/>
        </w:tcBorders>
      </w:tcPr>
    </w:tblStylePr>
    <w:tblStylePr w:type="lastRow">
      <w:rPr>
        <w:color w:val="auto"/>
      </w:rPr>
      <w:pPr>
        <w:pBdr/>
        <w:spacing w:after="0" w:before="0" w:line="240" w:lineRule="auto"/>
        <w:ind/>
      </w:pPr>
      <w:tblPr>
        <w:tblBorders/>
      </w:tblPr>
      <w:tcPr>
        <w:shd w:val="clear" w:color="auto" w:fill="ffffff" w:themeFill="background1"/>
        <w:tcBorders>
          <w:top w:val="single" w:color="000000" w:sz="6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nwCell">
      <w:rPr>
        <w:color w:val="ffffff" w:themeColor="background1"/>
      </w:rPr>
      <w:pPr>
        <w:pBdr/>
        <w:spacing/>
        <w:ind/>
      </w:pPr>
      <w:tblPr>
        <w:tblBorders/>
      </w:tblPr>
      <w:tcPr>
        <w:tcBorders>
          <w:top w:val="single" w:color="000000" w:sz="18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neCell">
      <w:pPr>
        <w:pBdr/>
        <w:spacing/>
        <w:ind/>
      </w:pPr>
      <w:tblPr>
        <w:tblBorders/>
      </w:tblPr>
      <w:tcPr>
        <w:tcBorders>
          <w:top w:val="single" w:color="000000" w:sz="18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5">
    <w:name w:val="Medium Shading 2 Accent 3"/>
    <w:basedOn w:val="703"/>
    <w:uiPriority w:val="64"/>
    <w:pPr>
      <w:pBdr/>
      <w:spacing w:after="0" w:line="240" w:lineRule="auto"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sz="18" w:space="0"/>
        <w:bottom w:val="single" w:color="000000" w:sz="1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d8d8d8" w:themeFill="background1" w:themeFillShade="D8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d8d8d8" w:themeFill="background1" w:themeFillShade="D8"/>
        <w:tcBorders>
          <w:left w:val="none" w:color="000000" w:sz="4" w:space="0"/>
          <w:right w:val="none" w:color="000000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9bbb59" w:themeFill="accent3"/>
        <w:tcBorders>
          <w:top w:val="none" w:color="000000" w:sz="4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firstRow">
      <w:rPr>
        <w:b/>
        <w:bCs/>
        <w:color w:val="ffffff" w:themeColor="background1"/>
      </w:rPr>
      <w:pPr>
        <w:pBdr/>
        <w:spacing w:after="0" w:before="0" w:line="240" w:lineRule="auto"/>
        <w:ind/>
      </w:pPr>
      <w:tblPr>
        <w:tblBorders/>
      </w:tblPr>
      <w:tcPr>
        <w:shd w:val="clear" w:color="auto" w:fill="9bbb59" w:themeFill="accent3"/>
        <w:tcBorders>
          <w:top w:val="single" w:color="000000" w:sz="18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lastCol">
      <w:rPr>
        <w:b/>
        <w:bCs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9bbb59" w:themeFill="accent3"/>
        <w:tcBorders>
          <w:left w:val="none" w:color="000000" w:sz="4" w:space="0"/>
          <w:right w:val="none" w:color="000000" w:sz="4" w:space="0"/>
        </w:tcBorders>
      </w:tcPr>
    </w:tblStylePr>
    <w:tblStylePr w:type="lastRow">
      <w:rPr>
        <w:color w:val="auto"/>
      </w:rPr>
      <w:pPr>
        <w:pBdr/>
        <w:spacing w:after="0" w:before="0" w:line="240" w:lineRule="auto"/>
        <w:ind/>
      </w:pPr>
      <w:tblPr>
        <w:tblBorders/>
      </w:tblPr>
      <w:tcPr>
        <w:shd w:val="clear" w:color="auto" w:fill="ffffff" w:themeFill="background1"/>
        <w:tcBorders>
          <w:top w:val="single" w:color="000000" w:sz="6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nwCell">
      <w:rPr>
        <w:color w:val="ffffff" w:themeColor="background1"/>
      </w:rPr>
      <w:pPr>
        <w:pBdr/>
        <w:spacing/>
        <w:ind/>
      </w:pPr>
      <w:tblPr>
        <w:tblBorders/>
      </w:tblPr>
      <w:tcPr>
        <w:tcBorders>
          <w:top w:val="single" w:color="000000" w:sz="18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neCell">
      <w:pPr>
        <w:pBdr/>
        <w:spacing/>
        <w:ind/>
      </w:pPr>
      <w:tblPr>
        <w:tblBorders/>
      </w:tblPr>
      <w:tcPr>
        <w:tcBorders>
          <w:top w:val="single" w:color="000000" w:sz="18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6">
    <w:name w:val="Medium Shading 2 Accent 4"/>
    <w:basedOn w:val="703"/>
    <w:uiPriority w:val="64"/>
    <w:pPr>
      <w:pBdr/>
      <w:spacing w:after="0" w:line="240" w:lineRule="auto"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sz="18" w:space="0"/>
        <w:bottom w:val="single" w:color="000000" w:sz="1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d8d8d8" w:themeFill="background1" w:themeFillShade="D8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d8d8d8" w:themeFill="background1" w:themeFillShade="D8"/>
        <w:tcBorders>
          <w:left w:val="none" w:color="000000" w:sz="4" w:space="0"/>
          <w:right w:val="none" w:color="000000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8064a2" w:themeFill="accent4"/>
        <w:tcBorders>
          <w:top w:val="none" w:color="000000" w:sz="4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firstRow">
      <w:rPr>
        <w:b/>
        <w:bCs/>
        <w:color w:val="ffffff" w:themeColor="background1"/>
      </w:rPr>
      <w:pPr>
        <w:pBdr/>
        <w:spacing w:after="0" w:before="0" w:line="240" w:lineRule="auto"/>
        <w:ind/>
      </w:pPr>
      <w:tblPr>
        <w:tblBorders/>
      </w:tblPr>
      <w:tcPr>
        <w:shd w:val="clear" w:color="auto" w:fill="8064a2" w:themeFill="accent4"/>
        <w:tcBorders>
          <w:top w:val="single" w:color="000000" w:sz="18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lastCol">
      <w:rPr>
        <w:b/>
        <w:bCs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8064a2" w:themeFill="accent4"/>
        <w:tcBorders>
          <w:left w:val="none" w:color="000000" w:sz="4" w:space="0"/>
          <w:right w:val="none" w:color="000000" w:sz="4" w:space="0"/>
        </w:tcBorders>
      </w:tcPr>
    </w:tblStylePr>
    <w:tblStylePr w:type="lastRow">
      <w:rPr>
        <w:color w:val="auto"/>
      </w:rPr>
      <w:pPr>
        <w:pBdr/>
        <w:spacing w:after="0" w:before="0" w:line="240" w:lineRule="auto"/>
        <w:ind/>
      </w:pPr>
      <w:tblPr>
        <w:tblBorders/>
      </w:tblPr>
      <w:tcPr>
        <w:shd w:val="clear" w:color="auto" w:fill="ffffff" w:themeFill="background1"/>
        <w:tcBorders>
          <w:top w:val="single" w:color="000000" w:sz="6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nwCell">
      <w:rPr>
        <w:color w:val="ffffff" w:themeColor="background1"/>
      </w:rPr>
      <w:pPr>
        <w:pBdr/>
        <w:spacing/>
        <w:ind/>
      </w:pPr>
      <w:tblPr>
        <w:tblBorders/>
      </w:tblPr>
      <w:tcPr>
        <w:tcBorders>
          <w:top w:val="single" w:color="000000" w:sz="18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neCell">
      <w:pPr>
        <w:pBdr/>
        <w:spacing/>
        <w:ind/>
      </w:pPr>
      <w:tblPr>
        <w:tblBorders/>
      </w:tblPr>
      <w:tcPr>
        <w:tcBorders>
          <w:top w:val="single" w:color="000000" w:sz="18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7">
    <w:name w:val="Medium Shading 2 Accent 5"/>
    <w:basedOn w:val="703"/>
    <w:uiPriority w:val="64"/>
    <w:pPr>
      <w:pBdr/>
      <w:spacing w:after="0" w:line="240" w:lineRule="auto"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sz="18" w:space="0"/>
        <w:bottom w:val="single" w:color="000000" w:sz="1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d8d8d8" w:themeFill="background1" w:themeFillShade="D8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d8d8d8" w:themeFill="background1" w:themeFillShade="D8"/>
        <w:tcBorders>
          <w:left w:val="none" w:color="000000" w:sz="4" w:space="0"/>
          <w:right w:val="none" w:color="000000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4bacc6" w:themeFill="accent5"/>
        <w:tcBorders>
          <w:top w:val="none" w:color="000000" w:sz="4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firstRow">
      <w:rPr>
        <w:b/>
        <w:bCs/>
        <w:color w:val="ffffff" w:themeColor="background1"/>
      </w:rPr>
      <w:pPr>
        <w:pBdr/>
        <w:spacing w:after="0" w:before="0" w:line="240" w:lineRule="auto"/>
        <w:ind/>
      </w:pPr>
      <w:tblPr>
        <w:tblBorders/>
      </w:tblPr>
      <w:tcPr>
        <w:shd w:val="clear" w:color="auto" w:fill="4bacc6" w:themeFill="accent5"/>
        <w:tcBorders>
          <w:top w:val="single" w:color="000000" w:sz="18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lastCol">
      <w:rPr>
        <w:b/>
        <w:bCs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4bacc6" w:themeFill="accent5"/>
        <w:tcBorders>
          <w:left w:val="none" w:color="000000" w:sz="4" w:space="0"/>
          <w:right w:val="none" w:color="000000" w:sz="4" w:space="0"/>
        </w:tcBorders>
      </w:tcPr>
    </w:tblStylePr>
    <w:tblStylePr w:type="lastRow">
      <w:rPr>
        <w:color w:val="auto"/>
      </w:rPr>
      <w:pPr>
        <w:pBdr/>
        <w:spacing w:after="0" w:before="0" w:line="240" w:lineRule="auto"/>
        <w:ind/>
      </w:pPr>
      <w:tblPr>
        <w:tblBorders/>
      </w:tblPr>
      <w:tcPr>
        <w:shd w:val="clear" w:color="auto" w:fill="ffffff" w:themeFill="background1"/>
        <w:tcBorders>
          <w:top w:val="single" w:color="000000" w:sz="6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nwCell">
      <w:rPr>
        <w:color w:val="ffffff" w:themeColor="background1"/>
      </w:rPr>
      <w:pPr>
        <w:pBdr/>
        <w:spacing/>
        <w:ind/>
      </w:pPr>
      <w:tblPr>
        <w:tblBorders/>
      </w:tblPr>
      <w:tcPr>
        <w:tcBorders>
          <w:top w:val="single" w:color="000000" w:sz="18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neCell">
      <w:pPr>
        <w:pBdr/>
        <w:spacing/>
        <w:ind/>
      </w:pPr>
      <w:tblPr>
        <w:tblBorders/>
      </w:tblPr>
      <w:tcPr>
        <w:tcBorders>
          <w:top w:val="single" w:color="000000" w:sz="18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8">
    <w:name w:val="Medium Shading 2 Accent 6"/>
    <w:basedOn w:val="703"/>
    <w:uiPriority w:val="64"/>
    <w:pPr>
      <w:pBdr/>
      <w:spacing w:after="0" w:line="240" w:lineRule="auto"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sz="18" w:space="0"/>
        <w:bottom w:val="single" w:color="000000" w:sz="1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d8d8d8" w:themeFill="background1" w:themeFillShade="D8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d8d8d8" w:themeFill="background1" w:themeFillShade="D8"/>
        <w:tcBorders>
          <w:left w:val="none" w:color="000000" w:sz="4" w:space="0"/>
          <w:right w:val="none" w:color="000000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f79646" w:themeFill="accent6"/>
        <w:tcBorders>
          <w:top w:val="none" w:color="000000" w:sz="4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firstRow">
      <w:rPr>
        <w:b/>
        <w:bCs/>
        <w:color w:val="ffffff" w:themeColor="background1"/>
      </w:rPr>
      <w:pPr>
        <w:pBdr/>
        <w:spacing w:after="0" w:before="0" w:line="240" w:lineRule="auto"/>
        <w:ind/>
      </w:pPr>
      <w:tblPr>
        <w:tblBorders/>
      </w:tblPr>
      <w:tcPr>
        <w:shd w:val="clear" w:color="auto" w:fill="f79646" w:themeFill="accent6"/>
        <w:tcBorders>
          <w:top w:val="single" w:color="000000" w:sz="18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lastCol">
      <w:rPr>
        <w:b/>
        <w:bCs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f79646" w:themeFill="accent6"/>
        <w:tcBorders>
          <w:left w:val="none" w:color="000000" w:sz="4" w:space="0"/>
          <w:right w:val="none" w:color="000000" w:sz="4" w:space="0"/>
        </w:tcBorders>
      </w:tcPr>
    </w:tblStylePr>
    <w:tblStylePr w:type="lastRow">
      <w:rPr>
        <w:color w:val="auto"/>
      </w:rPr>
      <w:pPr>
        <w:pBdr/>
        <w:spacing w:after="0" w:before="0" w:line="240" w:lineRule="auto"/>
        <w:ind/>
      </w:pPr>
      <w:tblPr>
        <w:tblBorders/>
      </w:tblPr>
      <w:tcPr>
        <w:shd w:val="clear" w:color="auto" w:fill="ffffff" w:themeFill="background1"/>
        <w:tcBorders>
          <w:top w:val="single" w:color="000000" w:sz="6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nwCell">
      <w:rPr>
        <w:color w:val="ffffff" w:themeColor="background1"/>
      </w:rPr>
      <w:pPr>
        <w:pBdr/>
        <w:spacing/>
        <w:ind/>
      </w:pPr>
      <w:tblPr>
        <w:tblBorders/>
      </w:tblPr>
      <w:tcPr>
        <w:tcBorders>
          <w:top w:val="single" w:color="000000" w:sz="18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neCell">
      <w:pPr>
        <w:pBdr/>
        <w:spacing/>
        <w:ind/>
      </w:pPr>
      <w:tblPr>
        <w:tblBorders/>
      </w:tblPr>
      <w:tcPr>
        <w:tcBorders>
          <w:top w:val="single" w:color="000000" w:sz="18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9">
    <w:name w:val="Medium List 1"/>
    <w:basedOn w:val="703"/>
    <w:uiPriority w:val="65"/>
    <w:pPr>
      <w:pBdr/>
      <w:spacing w:after="0" w:line="240" w:lineRule="auto"/>
      <w:ind/>
    </w:pPr>
    <w:rPr>
      <w:color w:val="000000" w:themeColor="text1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sz="8" w:space="0"/>
        <w:bottom w:val="single" w:color="000000" w:themeColor="text1" w:sz="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c0c0c0" w:themeFill="text1" w:themeFillTint="3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c0c0c0" w:themeFill="text1" w:themeFillTint="3F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Theme="majorHAnsi" w:hAnsiTheme="majorHAnsi" w:eastAsiaTheme="majorEastAsia" w:cstheme="majorBidi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bottom w:val="single" w:color="000000" w:themeColor="text1" w:sz="8" w:space="0"/>
        </w:tcBorders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</w:rPr>
      <w:pPr>
        <w:pBdr/>
        <w:spacing/>
        <w:ind/>
      </w:pPr>
      <w:tblPr>
        <w:tblBorders/>
      </w:tblPr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0">
    <w:name w:val="Medium List 1 Accent 1"/>
    <w:basedOn w:val="703"/>
    <w:uiPriority w:val="65"/>
    <w:pPr>
      <w:pBdr/>
      <w:spacing w:after="0" w:line="240" w:lineRule="auto"/>
      <w:ind/>
    </w:pPr>
    <w:rPr>
      <w:color w:val="000000" w:themeColor="text1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4f81bd" w:themeColor="accent1" w:sz="8" w:space="0"/>
        <w:bottom w:val="single" w:color="4f81bd" w:themeColor="accent1" w:sz="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d3dfee" w:themeFill="accent1" w:themeFillTint="3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d3dfee" w:themeFill="accent1" w:themeFillTint="3F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Theme="majorHAnsi" w:hAnsiTheme="majorHAnsi" w:eastAsiaTheme="majorEastAsia" w:cstheme="majorBidi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bottom w:val="single" w:color="4f81bd" w:themeColor="accent1" w:sz="8" w:space="0"/>
        </w:tcBorders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</w:rPr>
      <w:pPr>
        <w:pBdr/>
        <w:spacing/>
        <w:ind/>
      </w:pPr>
      <w:tblPr>
        <w:tblBorders/>
      </w:tblPr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1">
    <w:name w:val="Medium List 1 Accent 2"/>
    <w:basedOn w:val="703"/>
    <w:uiPriority w:val="65"/>
    <w:pPr>
      <w:pBdr/>
      <w:spacing w:after="0" w:line="240" w:lineRule="auto"/>
      <w:ind/>
    </w:pPr>
    <w:rPr>
      <w:color w:val="000000" w:themeColor="text1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c0504d" w:themeColor="accent2" w:sz="8" w:space="0"/>
        <w:bottom w:val="single" w:color="c0504d" w:themeColor="accent2" w:sz="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efd3d2" w:themeFill="accent2" w:themeFillTint="3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efd3d2" w:themeFill="accent2" w:themeFillTint="3F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Theme="majorHAnsi" w:hAnsiTheme="majorHAnsi" w:eastAsiaTheme="majorEastAsia" w:cstheme="majorBidi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bottom w:val="single" w:color="c0504d" w:themeColor="accent2" w:sz="8" w:space="0"/>
        </w:tcBorders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</w:rPr>
      <w:pPr>
        <w:pBdr/>
        <w:spacing/>
        <w:ind/>
      </w:pPr>
      <w:tblPr>
        <w:tblBorders/>
      </w:tblPr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2">
    <w:name w:val="Medium List 1 Accent 3"/>
    <w:basedOn w:val="703"/>
    <w:uiPriority w:val="65"/>
    <w:pPr>
      <w:pBdr/>
      <w:spacing w:after="0" w:line="240" w:lineRule="auto"/>
      <w:ind/>
    </w:pPr>
    <w:rPr>
      <w:color w:val="000000" w:themeColor="text1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9bbb59" w:themeColor="accent3" w:sz="8" w:space="0"/>
        <w:bottom w:val="single" w:color="9bbb59" w:themeColor="accent3" w:sz="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e6eed5" w:themeFill="accent3" w:themeFillTint="3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e6eed5" w:themeFill="accent3" w:themeFillTint="3F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Theme="majorHAnsi" w:hAnsiTheme="majorHAnsi" w:eastAsiaTheme="majorEastAsia" w:cstheme="majorBidi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bottom w:val="single" w:color="9bbb59" w:themeColor="accent3" w:sz="8" w:space="0"/>
        </w:tcBorders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</w:rPr>
      <w:pPr>
        <w:pBdr/>
        <w:spacing/>
        <w:ind/>
      </w:pPr>
      <w:tblPr>
        <w:tblBorders/>
      </w:tblPr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3">
    <w:name w:val="Medium List 1 Accent 4"/>
    <w:basedOn w:val="703"/>
    <w:uiPriority w:val="65"/>
    <w:pPr>
      <w:pBdr/>
      <w:spacing w:after="0" w:line="240" w:lineRule="auto"/>
      <w:ind/>
    </w:pPr>
    <w:rPr>
      <w:color w:val="000000" w:themeColor="text1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8064a2" w:themeColor="accent4" w:sz="8" w:space="0"/>
        <w:bottom w:val="single" w:color="8064a2" w:themeColor="accent4" w:sz="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dfd8e8" w:themeFill="accent4" w:themeFillTint="3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dfd8e8" w:themeFill="accent4" w:themeFillTint="3F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Theme="majorHAnsi" w:hAnsiTheme="majorHAnsi" w:eastAsiaTheme="majorEastAsia" w:cstheme="majorBidi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bottom w:val="single" w:color="8064a2" w:themeColor="accent4" w:sz="8" w:space="0"/>
        </w:tcBorders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</w:rPr>
      <w:pPr>
        <w:pBdr/>
        <w:spacing/>
        <w:ind/>
      </w:pPr>
      <w:tblPr>
        <w:tblBorders/>
      </w:tblPr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4">
    <w:name w:val="Medium List 1 Accent 5"/>
    <w:basedOn w:val="703"/>
    <w:uiPriority w:val="65"/>
    <w:pPr>
      <w:pBdr/>
      <w:spacing w:after="0" w:line="240" w:lineRule="auto"/>
      <w:ind/>
    </w:pPr>
    <w:rPr>
      <w:color w:val="000000" w:themeColor="text1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4bacc6" w:themeColor="accent5" w:sz="8" w:space="0"/>
        <w:bottom w:val="single" w:color="4bacc6" w:themeColor="accent5" w:sz="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d2eaf1" w:themeFill="accent5" w:themeFillTint="3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d2eaf1" w:themeFill="accent5" w:themeFillTint="3F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Theme="majorHAnsi" w:hAnsiTheme="majorHAnsi" w:eastAsiaTheme="majorEastAsia" w:cstheme="majorBidi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bottom w:val="single" w:color="4bacc6" w:themeColor="accent5" w:sz="8" w:space="0"/>
        </w:tcBorders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</w:rPr>
      <w:pPr>
        <w:pBdr/>
        <w:spacing/>
        <w:ind/>
      </w:pPr>
      <w:tblPr>
        <w:tblBorders/>
      </w:tblPr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5">
    <w:name w:val="Medium List 1 Accent 6"/>
    <w:basedOn w:val="703"/>
    <w:uiPriority w:val="65"/>
    <w:pPr>
      <w:pBdr/>
      <w:spacing w:after="0" w:line="240" w:lineRule="auto"/>
      <w:ind/>
    </w:pPr>
    <w:rPr>
      <w:color w:val="000000" w:themeColor="text1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f79646" w:themeColor="accent6" w:sz="8" w:space="0"/>
        <w:bottom w:val="single" w:color="f79646" w:themeColor="accent6" w:sz="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fde4d0" w:themeFill="accent6" w:themeFillTint="3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fde4d0" w:themeFill="accent6" w:themeFillTint="3F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Theme="majorHAnsi" w:hAnsiTheme="majorHAnsi" w:eastAsiaTheme="majorEastAsia" w:cstheme="majorBidi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bottom w:val="single" w:color="f79646" w:themeColor="accent6" w:sz="8" w:space="0"/>
        </w:tcBorders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</w:rPr>
      <w:pPr>
        <w:pBdr/>
        <w:spacing/>
        <w:ind/>
      </w:pPr>
      <w:tblPr>
        <w:tblBorders/>
      </w:tblPr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6">
    <w:name w:val="Medium List 2"/>
    <w:basedOn w:val="703"/>
    <w:uiPriority w:val="66"/>
    <w:pPr>
      <w:pBdr/>
      <w:spacing w:after="0" w:line="240" w:lineRule="auto"/>
      <w:ind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c0c0c0" w:themeFill="text1" w:themeFillTint="3F"/>
        <w:tcBorders>
          <w:top w:val="none" w:color="000000" w:sz="4" w:space="0"/>
          <w:bottom w:val="none" w:color="000000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c0c0c0" w:themeFill="text1" w:themeFillTint="3F"/>
        <w:tcBorders>
          <w:left w:val="none" w:color="000000" w:sz="4" w:space="0"/>
          <w:right w:val="none" w:color="000000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8" w:space="0"/>
        </w:tcBorders>
      </w:tcPr>
    </w:tblStylePr>
    <w:tblStylePr w:type="firstRow">
      <w:rPr>
        <w:sz w:val="24"/>
        <w:szCs w:val="24"/>
      </w:rPr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none" w:color="000000" w:sz="4" w:space="0"/>
          <w:left w:val="none" w:color="000000" w:sz="4" w:space="0"/>
          <w:bottom w:val="single" w:color="000000" w:themeColor="text1" w:sz="24" w:space="0"/>
          <w:right w:val="none" w:color="000000" w:sz="4" w:space="0"/>
        </w:tcBorders>
      </w:tcPr>
    </w:tblStylePr>
    <w:tblStylePr w:type="lastCol"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none" w:color="000000" w:sz="4" w:space="0"/>
          <w:left w:val="single" w:color="000000" w:themeColor="text1" w:sz="8" w:space="0"/>
          <w:bottom w:val="none" w:color="000000" w:sz="4" w:space="0"/>
          <w:right w:val="none" w:color="000000" w:sz="4" w:space="0"/>
        </w:tcBorders>
      </w:tcPr>
    </w:tblStylePr>
    <w:tblStylePr w:type="lastRow"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single" w:color="000000" w:themeColor="text1" w:sz="8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shd w:val="clear" w:color="auto" w:fill="ffffff" w:themeFill="background1"/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>
          <w:top w:val="none" w:color="000000" w:sz="4" w:space="0"/>
        </w:tcBorders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7">
    <w:name w:val="Medium List 2 Accent 1"/>
    <w:basedOn w:val="703"/>
    <w:uiPriority w:val="66"/>
    <w:pPr>
      <w:pBdr/>
      <w:spacing w:after="0" w:line="240" w:lineRule="auto"/>
      <w:ind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d3dfee" w:themeFill="accent1" w:themeFillTint="3F"/>
        <w:tcBorders>
          <w:top w:val="none" w:color="000000" w:sz="4" w:space="0"/>
          <w:bottom w:val="none" w:color="000000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d3dfee" w:themeFill="accent1" w:themeFillTint="3F"/>
        <w:tcBorders>
          <w:left w:val="none" w:color="000000" w:sz="4" w:space="0"/>
          <w:right w:val="none" w:color="000000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f81bd" w:themeColor="accent1" w:sz="8" w:space="0"/>
        </w:tcBorders>
      </w:tcPr>
    </w:tblStylePr>
    <w:tblStylePr w:type="firstRow">
      <w:rPr>
        <w:sz w:val="24"/>
        <w:szCs w:val="24"/>
      </w:rPr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none" w:color="000000" w:sz="4" w:space="0"/>
          <w:left w:val="none" w:color="000000" w:sz="4" w:space="0"/>
          <w:bottom w:val="single" w:color="4f81bd" w:themeColor="accent1" w:sz="24" w:space="0"/>
          <w:right w:val="none" w:color="000000" w:sz="4" w:space="0"/>
        </w:tcBorders>
      </w:tcPr>
    </w:tblStylePr>
    <w:tblStylePr w:type="lastCol"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none" w:color="000000" w:sz="4" w:space="0"/>
          <w:left w:val="single" w:color="4f81bd" w:themeColor="accent1" w:sz="8" w:space="0"/>
          <w:bottom w:val="none" w:color="000000" w:sz="4" w:space="0"/>
          <w:right w:val="none" w:color="000000" w:sz="4" w:space="0"/>
        </w:tcBorders>
      </w:tcPr>
    </w:tblStylePr>
    <w:tblStylePr w:type="lastRow"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single" w:color="4f81bd" w:themeColor="accent1" w:sz="8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shd w:val="clear" w:color="auto" w:fill="ffffff" w:themeFill="background1"/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>
          <w:top w:val="none" w:color="000000" w:sz="4" w:space="0"/>
        </w:tcBorders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8">
    <w:name w:val="Medium List 2 Accent 2"/>
    <w:basedOn w:val="703"/>
    <w:uiPriority w:val="66"/>
    <w:pPr>
      <w:pBdr/>
      <w:spacing w:after="0" w:line="240" w:lineRule="auto"/>
      <w:ind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efd3d2" w:themeFill="accent2" w:themeFillTint="3F"/>
        <w:tcBorders>
          <w:top w:val="none" w:color="000000" w:sz="4" w:space="0"/>
          <w:bottom w:val="none" w:color="000000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efd3d2" w:themeFill="accent2" w:themeFillTint="3F"/>
        <w:tcBorders>
          <w:left w:val="none" w:color="000000" w:sz="4" w:space="0"/>
          <w:right w:val="none" w:color="000000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c0504d" w:themeColor="accent2" w:sz="8" w:space="0"/>
        </w:tcBorders>
      </w:tcPr>
    </w:tblStylePr>
    <w:tblStylePr w:type="firstRow">
      <w:rPr>
        <w:sz w:val="24"/>
        <w:szCs w:val="24"/>
      </w:rPr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none" w:color="000000" w:sz="4" w:space="0"/>
          <w:left w:val="none" w:color="000000" w:sz="4" w:space="0"/>
          <w:bottom w:val="single" w:color="c0504d" w:themeColor="accent2" w:sz="24" w:space="0"/>
          <w:right w:val="none" w:color="000000" w:sz="4" w:space="0"/>
        </w:tcBorders>
      </w:tcPr>
    </w:tblStylePr>
    <w:tblStylePr w:type="lastCol"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none" w:color="000000" w:sz="4" w:space="0"/>
          <w:left w:val="single" w:color="c0504d" w:themeColor="accent2" w:sz="8" w:space="0"/>
          <w:bottom w:val="none" w:color="000000" w:sz="4" w:space="0"/>
          <w:right w:val="none" w:color="000000" w:sz="4" w:space="0"/>
        </w:tcBorders>
      </w:tcPr>
    </w:tblStylePr>
    <w:tblStylePr w:type="lastRow"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single" w:color="c0504d" w:themeColor="accent2" w:sz="8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shd w:val="clear" w:color="auto" w:fill="ffffff" w:themeFill="background1"/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>
          <w:top w:val="none" w:color="000000" w:sz="4" w:space="0"/>
        </w:tcBorders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9">
    <w:name w:val="Medium List 2 Accent 3"/>
    <w:basedOn w:val="703"/>
    <w:uiPriority w:val="66"/>
    <w:pPr>
      <w:pBdr/>
      <w:spacing w:after="0" w:line="240" w:lineRule="auto"/>
      <w:ind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e6eed5" w:themeFill="accent3" w:themeFillTint="3F"/>
        <w:tcBorders>
          <w:top w:val="none" w:color="000000" w:sz="4" w:space="0"/>
          <w:bottom w:val="none" w:color="000000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e6eed5" w:themeFill="accent3" w:themeFillTint="3F"/>
        <w:tcBorders>
          <w:left w:val="none" w:color="000000" w:sz="4" w:space="0"/>
          <w:right w:val="none" w:color="000000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bbb59" w:themeColor="accent3" w:sz="8" w:space="0"/>
        </w:tcBorders>
      </w:tcPr>
    </w:tblStylePr>
    <w:tblStylePr w:type="firstRow">
      <w:rPr>
        <w:sz w:val="24"/>
        <w:szCs w:val="24"/>
      </w:rPr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none" w:color="000000" w:sz="4" w:space="0"/>
          <w:left w:val="none" w:color="000000" w:sz="4" w:space="0"/>
          <w:bottom w:val="single" w:color="9bbb59" w:themeColor="accent3" w:sz="24" w:space="0"/>
          <w:right w:val="none" w:color="000000" w:sz="4" w:space="0"/>
        </w:tcBorders>
      </w:tcPr>
    </w:tblStylePr>
    <w:tblStylePr w:type="lastCol"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none" w:color="000000" w:sz="4" w:space="0"/>
          <w:left w:val="single" w:color="9bbb59" w:themeColor="accent3" w:sz="8" w:space="0"/>
          <w:bottom w:val="none" w:color="000000" w:sz="4" w:space="0"/>
          <w:right w:val="none" w:color="000000" w:sz="4" w:space="0"/>
        </w:tcBorders>
      </w:tcPr>
    </w:tblStylePr>
    <w:tblStylePr w:type="lastRow"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single" w:color="9bbb59" w:themeColor="accent3" w:sz="8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shd w:val="clear" w:color="auto" w:fill="ffffff" w:themeFill="background1"/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>
          <w:top w:val="none" w:color="000000" w:sz="4" w:space="0"/>
        </w:tcBorders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0">
    <w:name w:val="Medium List 2 Accent 4"/>
    <w:basedOn w:val="703"/>
    <w:uiPriority w:val="66"/>
    <w:pPr>
      <w:pBdr/>
      <w:spacing w:after="0" w:line="240" w:lineRule="auto"/>
      <w:ind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dfd8e8" w:themeFill="accent4" w:themeFillTint="3F"/>
        <w:tcBorders>
          <w:top w:val="none" w:color="000000" w:sz="4" w:space="0"/>
          <w:bottom w:val="none" w:color="000000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dfd8e8" w:themeFill="accent4" w:themeFillTint="3F"/>
        <w:tcBorders>
          <w:left w:val="none" w:color="000000" w:sz="4" w:space="0"/>
          <w:right w:val="none" w:color="000000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8064a2" w:themeColor="accent4" w:sz="8" w:space="0"/>
        </w:tcBorders>
      </w:tcPr>
    </w:tblStylePr>
    <w:tblStylePr w:type="firstRow">
      <w:rPr>
        <w:sz w:val="24"/>
        <w:szCs w:val="24"/>
      </w:rPr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none" w:color="000000" w:sz="4" w:space="0"/>
          <w:left w:val="none" w:color="000000" w:sz="4" w:space="0"/>
          <w:bottom w:val="single" w:color="8064a2" w:themeColor="accent4" w:sz="24" w:space="0"/>
          <w:right w:val="none" w:color="000000" w:sz="4" w:space="0"/>
        </w:tcBorders>
      </w:tcPr>
    </w:tblStylePr>
    <w:tblStylePr w:type="lastCol"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none" w:color="000000" w:sz="4" w:space="0"/>
          <w:left w:val="single" w:color="8064a2" w:themeColor="accent4" w:sz="8" w:space="0"/>
          <w:bottom w:val="none" w:color="000000" w:sz="4" w:space="0"/>
          <w:right w:val="none" w:color="000000" w:sz="4" w:space="0"/>
        </w:tcBorders>
      </w:tcPr>
    </w:tblStylePr>
    <w:tblStylePr w:type="lastRow"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single" w:color="8064a2" w:themeColor="accent4" w:sz="8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shd w:val="clear" w:color="auto" w:fill="ffffff" w:themeFill="background1"/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>
          <w:top w:val="none" w:color="000000" w:sz="4" w:space="0"/>
        </w:tcBorders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1">
    <w:name w:val="Medium List 2 Accent 5"/>
    <w:basedOn w:val="703"/>
    <w:uiPriority w:val="66"/>
    <w:pPr>
      <w:pBdr/>
      <w:spacing w:after="0" w:line="240" w:lineRule="auto"/>
      <w:ind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d2eaf1" w:themeFill="accent5" w:themeFillTint="3F"/>
        <w:tcBorders>
          <w:top w:val="none" w:color="000000" w:sz="4" w:space="0"/>
          <w:bottom w:val="none" w:color="000000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d2eaf1" w:themeFill="accent5" w:themeFillTint="3F"/>
        <w:tcBorders>
          <w:left w:val="none" w:color="000000" w:sz="4" w:space="0"/>
          <w:right w:val="none" w:color="000000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bacc6" w:themeColor="accent5" w:sz="8" w:space="0"/>
        </w:tcBorders>
      </w:tcPr>
    </w:tblStylePr>
    <w:tblStylePr w:type="firstRow">
      <w:rPr>
        <w:sz w:val="24"/>
        <w:szCs w:val="24"/>
      </w:rPr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none" w:color="000000" w:sz="4" w:space="0"/>
          <w:left w:val="none" w:color="000000" w:sz="4" w:space="0"/>
          <w:bottom w:val="single" w:color="4bacc6" w:themeColor="accent5" w:sz="24" w:space="0"/>
          <w:right w:val="none" w:color="000000" w:sz="4" w:space="0"/>
        </w:tcBorders>
      </w:tcPr>
    </w:tblStylePr>
    <w:tblStylePr w:type="lastCol"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none" w:color="000000" w:sz="4" w:space="0"/>
          <w:left w:val="single" w:color="4bacc6" w:themeColor="accent5" w:sz="8" w:space="0"/>
          <w:bottom w:val="none" w:color="000000" w:sz="4" w:space="0"/>
          <w:right w:val="none" w:color="000000" w:sz="4" w:space="0"/>
        </w:tcBorders>
      </w:tcPr>
    </w:tblStylePr>
    <w:tblStylePr w:type="lastRow"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single" w:color="4bacc6" w:themeColor="accent5" w:sz="8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shd w:val="clear" w:color="auto" w:fill="ffffff" w:themeFill="background1"/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>
          <w:top w:val="none" w:color="000000" w:sz="4" w:space="0"/>
        </w:tcBorders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2">
    <w:name w:val="Medium List 2 Accent 6"/>
    <w:basedOn w:val="703"/>
    <w:uiPriority w:val="66"/>
    <w:pPr>
      <w:pBdr/>
      <w:spacing w:after="0" w:line="240" w:lineRule="auto"/>
      <w:ind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fde4d0" w:themeFill="accent6" w:themeFillTint="3F"/>
        <w:tcBorders>
          <w:top w:val="none" w:color="000000" w:sz="4" w:space="0"/>
          <w:bottom w:val="none" w:color="000000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fde4d0" w:themeFill="accent6" w:themeFillTint="3F"/>
        <w:tcBorders>
          <w:left w:val="none" w:color="000000" w:sz="4" w:space="0"/>
          <w:right w:val="none" w:color="000000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79646" w:themeColor="accent6" w:sz="8" w:space="0"/>
        </w:tcBorders>
      </w:tcPr>
    </w:tblStylePr>
    <w:tblStylePr w:type="firstRow">
      <w:rPr>
        <w:sz w:val="24"/>
        <w:szCs w:val="24"/>
      </w:rPr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none" w:color="000000" w:sz="4" w:space="0"/>
          <w:left w:val="none" w:color="000000" w:sz="4" w:space="0"/>
          <w:bottom w:val="single" w:color="f79646" w:themeColor="accent6" w:sz="24" w:space="0"/>
          <w:right w:val="none" w:color="000000" w:sz="4" w:space="0"/>
        </w:tcBorders>
      </w:tcPr>
    </w:tblStylePr>
    <w:tblStylePr w:type="lastCol"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none" w:color="000000" w:sz="4" w:space="0"/>
          <w:left w:val="single" w:color="f79646" w:themeColor="accent6" w:sz="8" w:space="0"/>
          <w:bottom w:val="none" w:color="000000" w:sz="4" w:space="0"/>
          <w:right w:val="none" w:color="000000" w:sz="4" w:space="0"/>
        </w:tcBorders>
      </w:tcPr>
    </w:tblStylePr>
    <w:tblStylePr w:type="lastRow"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single" w:color="f79646" w:themeColor="accent6" w:sz="8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shd w:val="clear" w:color="auto" w:fill="ffffff" w:themeFill="background1"/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>
          <w:top w:val="none" w:color="000000" w:sz="4" w:space="0"/>
        </w:tcBorders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3">
    <w:name w:val="Medium Grid 1"/>
    <w:basedOn w:val="703"/>
    <w:uiPriority w:val="67"/>
    <w:pPr>
      <w:pBdr/>
      <w:spacing w:after="0" w:line="240" w:lineRule="auto"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  <w:insideV w:val="single" w:color="404040" w:themeColor="text1" w:themeTint="BF" w:sz="8" w:space="0"/>
      </w:tblBorders>
    </w:tblPr>
    <w:tcPr>
      <w:shd w:val="clear" w:color="auto" w:fill="c0c0c0" w:themeFill="text1" w:themeFillTint="3F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808080" w:themeFill="text1" w:themeFillTint="7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808080" w:themeFill="text1" w:themeFillTint="7F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bCs/>
      </w:rPr>
      <w:pPr>
        <w:pBdr/>
        <w:spacing/>
        <w:ind/>
      </w:pPr>
      <w:tblPr>
        <w:tblBorders/>
      </w:tblPr>
      <w:tcPr>
        <w:tcBorders>
          <w:top w:val="single" w:color="404040" w:themeColor="text1" w:themeTint="BF" w:sz="1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4">
    <w:name w:val="Medium Grid 1 Accent 1"/>
    <w:basedOn w:val="703"/>
    <w:uiPriority w:val="67"/>
    <w:pPr>
      <w:pBdr/>
      <w:spacing w:after="0" w:line="240" w:lineRule="auto"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</w:tblPr>
    <w:tcPr>
      <w:shd w:val="clear" w:color="auto" w:fill="d3dfee" w:themeFill="accent1" w:themeFillTint="3F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a7bfde" w:themeFill="accent1" w:themeFillTint="7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a7bfde" w:themeFill="accent1" w:themeFillTint="7F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bCs/>
      </w:rPr>
      <w:pPr>
        <w:pBdr/>
        <w:spacing/>
        <w:ind/>
      </w:pPr>
      <w:tblPr>
        <w:tblBorders/>
      </w:tblPr>
      <w:tcPr>
        <w:tcBorders>
          <w:top w:val="single" w:color="7ba0cd" w:themeColor="accent1" w:themeTint="BF" w:sz="1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5">
    <w:name w:val="Medium Grid 1 Accent 2"/>
    <w:basedOn w:val="703"/>
    <w:uiPriority w:val="67"/>
    <w:pPr>
      <w:pBdr/>
      <w:spacing w:after="0" w:line="240" w:lineRule="auto"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</w:tblPr>
    <w:tcPr>
      <w:shd w:val="clear" w:color="auto" w:fill="efd3d2" w:themeFill="accent2" w:themeFillTint="3F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dfa7a6" w:themeFill="accent2" w:themeFillTint="7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dfa7a6" w:themeFill="accent2" w:themeFillTint="7F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bCs/>
      </w:rPr>
      <w:pPr>
        <w:pBdr/>
        <w:spacing/>
        <w:ind/>
      </w:pPr>
      <w:tblPr>
        <w:tblBorders/>
      </w:tblPr>
      <w:tcPr>
        <w:tcBorders>
          <w:top w:val="single" w:color="cf7b79" w:themeColor="accent2" w:themeTint="BF" w:sz="1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6">
    <w:name w:val="Medium Grid 1 Accent 3"/>
    <w:basedOn w:val="703"/>
    <w:uiPriority w:val="67"/>
    <w:pPr>
      <w:pBdr/>
      <w:spacing w:after="0" w:line="240" w:lineRule="auto"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  <w:insideV w:val="single" w:color="b3cc82" w:themeColor="accent3" w:themeTint="BF" w:sz="8" w:space="0"/>
      </w:tblBorders>
    </w:tblPr>
    <w:tcPr>
      <w:shd w:val="clear" w:color="auto" w:fill="e6eed5" w:themeFill="accent3" w:themeFillTint="3F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cdddac" w:themeFill="accent3" w:themeFillTint="7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cdddac" w:themeFill="accent3" w:themeFillTint="7F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bCs/>
      </w:rPr>
      <w:pPr>
        <w:pBdr/>
        <w:spacing/>
        <w:ind/>
      </w:pPr>
      <w:tblPr>
        <w:tblBorders/>
      </w:tblPr>
      <w:tcPr>
        <w:tcBorders>
          <w:top w:val="single" w:color="b3cc82" w:themeColor="accent3" w:themeTint="BF" w:sz="1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7">
    <w:name w:val="Medium Grid 1 Accent 4"/>
    <w:basedOn w:val="703"/>
    <w:uiPriority w:val="67"/>
    <w:pPr>
      <w:pBdr/>
      <w:spacing w:after="0" w:line="240" w:lineRule="auto"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</w:tblPr>
    <w:tcPr>
      <w:shd w:val="clear" w:color="auto" w:fill="dfd8e8" w:themeFill="accent4" w:themeFillTint="3F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bfb1d0" w:themeFill="accent4" w:themeFillTint="7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bfb1d0" w:themeFill="accent4" w:themeFillTint="7F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bCs/>
      </w:rPr>
      <w:pPr>
        <w:pBdr/>
        <w:spacing/>
        <w:ind/>
      </w:pPr>
      <w:tblPr>
        <w:tblBorders/>
      </w:tblPr>
      <w:tcPr>
        <w:tcBorders>
          <w:top w:val="single" w:color="9f8ab9" w:themeColor="accent4" w:themeTint="BF" w:sz="1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8">
    <w:name w:val="Medium Grid 1 Accent 5"/>
    <w:basedOn w:val="703"/>
    <w:uiPriority w:val="67"/>
    <w:pPr>
      <w:pBdr/>
      <w:spacing w:after="0" w:line="240" w:lineRule="auto"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</w:tblPr>
    <w:tcPr>
      <w:shd w:val="clear" w:color="auto" w:fill="d2eaf1" w:themeFill="accent5" w:themeFillTint="3F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a5d5e2" w:themeFill="accent5" w:themeFillTint="7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a5d5e2" w:themeFill="accent5" w:themeFillTint="7F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bCs/>
      </w:rPr>
      <w:pPr>
        <w:pBdr/>
        <w:spacing/>
        <w:ind/>
      </w:pPr>
      <w:tblPr>
        <w:tblBorders/>
      </w:tblPr>
      <w:tcPr>
        <w:tcBorders>
          <w:top w:val="single" w:color="78c0d4" w:themeColor="accent5" w:themeTint="BF" w:sz="1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9">
    <w:name w:val="Medium Grid 1 Accent 6"/>
    <w:basedOn w:val="703"/>
    <w:uiPriority w:val="67"/>
    <w:pPr>
      <w:pBdr/>
      <w:spacing w:after="0" w:line="240" w:lineRule="auto"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</w:tblPr>
    <w:tcPr>
      <w:shd w:val="clear" w:color="auto" w:fill="fde4d0" w:themeFill="accent6" w:themeFillTint="3F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fbcaa2" w:themeFill="accent6" w:themeFillTint="7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fbcaa2" w:themeFill="accent6" w:themeFillTint="7F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bCs/>
      </w:rPr>
      <w:pPr>
        <w:pBdr/>
        <w:spacing/>
        <w:ind/>
      </w:pPr>
      <w:tblPr>
        <w:tblBorders/>
      </w:tblPr>
      <w:tcPr>
        <w:tcBorders>
          <w:top w:val="single" w:color="f9b074" w:themeColor="accent6" w:themeTint="BF" w:sz="1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0">
    <w:name w:val="Medium Grid 2"/>
    <w:basedOn w:val="703"/>
    <w:uiPriority w:val="68"/>
    <w:pPr>
      <w:pBdr/>
      <w:spacing w:after="0" w:line="240" w:lineRule="auto"/>
      <w:ind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</w:tblPr>
    <w:tcPr>
      <w:shd w:val="clear" w:color="auto" w:fill="c0c0c0" w:themeFill="text1" w:themeFillTint="3F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808080" w:themeFill="text1" w:themeFillTint="7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808080" w:themeFill="text1" w:themeFillTint="7F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  <w:color w:val="000000" w:themeColor="text1"/>
      </w:rPr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bCs/>
        <w:color w:val="000000" w:themeColor="text1"/>
      </w:rPr>
      <w:pPr>
        <w:pBdr/>
        <w:spacing/>
        <w:ind/>
      </w:pPr>
      <w:tblPr>
        <w:tblBorders/>
      </w:tblPr>
      <w:tcPr>
        <w:shd w:val="clear" w:color="auto" w:fill="e6e6e6" w:themeFill="text1" w:themeFillTint="19"/>
        <w:tcBorders/>
      </w:tcPr>
    </w:tblStylePr>
    <w:tblStylePr w:type="lastCol">
      <w:rPr>
        <w:b w:val="0"/>
        <w:bCs w:val="0"/>
        <w:color w:val="000000" w:themeColor="text1"/>
      </w:rPr>
      <w:pPr>
        <w:pBdr/>
        <w:spacing/>
        <w:ind/>
      </w:pPr>
      <w:tblPr>
        <w:tblBorders/>
      </w:tblPr>
      <w:tcPr>
        <w:shd w:val="clear" w:color="auto" w:fill="cccccc" w:themeFill="text1" w:themeFillTint="33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bCs/>
        <w:color w:val="000000" w:themeColor="text1"/>
      </w:rPr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single" w:color="000000" w:themeColor="text1" w:sz="12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shd w:val="clear" w:color="auto" w:fill="ffffff" w:themeFill="background1"/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1">
    <w:name w:val="Medium Grid 2 Accent 1"/>
    <w:basedOn w:val="703"/>
    <w:uiPriority w:val="68"/>
    <w:pPr>
      <w:pBdr/>
      <w:spacing w:after="0" w:line="240" w:lineRule="auto"/>
      <w:ind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</w:tblPr>
    <w:tcPr>
      <w:shd w:val="clear" w:color="auto" w:fill="d3dfee" w:themeFill="accent1" w:themeFillTint="3F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a7bfde" w:themeFill="accent1" w:themeFillTint="7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a7bfde" w:themeFill="accent1" w:themeFillTint="7F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  <w:color w:val="000000" w:themeColor="text1"/>
      </w:rPr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bCs/>
        <w:color w:val="000000" w:themeColor="text1"/>
      </w:rPr>
      <w:pPr>
        <w:pBdr/>
        <w:spacing/>
        <w:ind/>
      </w:pPr>
      <w:tblPr>
        <w:tblBorders/>
      </w:tblPr>
      <w:tcPr>
        <w:shd w:val="clear" w:color="auto" w:fill="edf2f8" w:themeFill="accent1" w:themeFillTint="19"/>
        <w:tcBorders/>
      </w:tcPr>
    </w:tblStylePr>
    <w:tblStylePr w:type="lastCol">
      <w:rPr>
        <w:b w:val="0"/>
        <w:bCs w:val="0"/>
        <w:color w:val="000000" w:themeColor="text1"/>
      </w:rPr>
      <w:pPr>
        <w:pBdr/>
        <w:spacing/>
        <w:ind/>
      </w:pPr>
      <w:tblPr>
        <w:tblBorders/>
      </w:tblPr>
      <w:tcPr>
        <w:shd w:val="clear" w:color="auto" w:fill="dbe5f1" w:themeFill="accent1" w:themeFillTint="33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bCs/>
        <w:color w:val="000000" w:themeColor="text1"/>
      </w:rPr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single" w:color="000000" w:themeColor="text1" w:sz="12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shd w:val="clear" w:color="auto" w:fill="ffffff" w:themeFill="background1"/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2">
    <w:name w:val="Medium Grid 2 Accent 2"/>
    <w:basedOn w:val="703"/>
    <w:uiPriority w:val="68"/>
    <w:pPr>
      <w:pBdr/>
      <w:spacing w:after="0" w:line="240" w:lineRule="auto"/>
      <w:ind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</w:tblPr>
    <w:tcPr>
      <w:shd w:val="clear" w:color="auto" w:fill="efd3d2" w:themeFill="accent2" w:themeFillTint="3F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dfa7a6" w:themeFill="accent2" w:themeFillTint="7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dfa7a6" w:themeFill="accent2" w:themeFillTint="7F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  <w:color w:val="000000" w:themeColor="text1"/>
      </w:rPr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bCs/>
        <w:color w:val="000000" w:themeColor="text1"/>
      </w:rPr>
      <w:pPr>
        <w:pBdr/>
        <w:spacing/>
        <w:ind/>
      </w:pPr>
      <w:tblPr>
        <w:tblBorders/>
      </w:tblPr>
      <w:tcPr>
        <w:shd w:val="clear" w:color="auto" w:fill="f8eded" w:themeFill="accent2" w:themeFillTint="19"/>
        <w:tcBorders/>
      </w:tcPr>
    </w:tblStylePr>
    <w:tblStylePr w:type="lastCol">
      <w:rPr>
        <w:b w:val="0"/>
        <w:bCs w:val="0"/>
        <w:color w:val="000000" w:themeColor="text1"/>
      </w:rPr>
      <w:pPr>
        <w:pBdr/>
        <w:spacing/>
        <w:ind/>
      </w:pPr>
      <w:tblPr>
        <w:tblBorders/>
      </w:tblPr>
      <w:tcPr>
        <w:shd w:val="clear" w:color="auto" w:fill="f2dbdb" w:themeFill="accent2" w:themeFillTint="33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bCs/>
        <w:color w:val="000000" w:themeColor="text1"/>
      </w:rPr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single" w:color="000000" w:themeColor="text1" w:sz="12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shd w:val="clear" w:color="auto" w:fill="ffffff" w:themeFill="background1"/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3">
    <w:name w:val="Medium Grid 2 Accent 3"/>
    <w:basedOn w:val="703"/>
    <w:uiPriority w:val="68"/>
    <w:pPr>
      <w:pBdr/>
      <w:spacing w:after="0" w:line="240" w:lineRule="auto"/>
      <w:ind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</w:tblPr>
    <w:tcPr>
      <w:shd w:val="clear" w:color="auto" w:fill="e6eed5" w:themeFill="accent3" w:themeFillTint="3F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cdddac" w:themeFill="accent3" w:themeFillTint="7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cdddac" w:themeFill="accent3" w:themeFillTint="7F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  <w:color w:val="000000" w:themeColor="text1"/>
      </w:rPr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bCs/>
        <w:color w:val="000000" w:themeColor="text1"/>
      </w:rPr>
      <w:pPr>
        <w:pBdr/>
        <w:spacing/>
        <w:ind/>
      </w:pPr>
      <w:tblPr>
        <w:tblBorders/>
      </w:tblPr>
      <w:tcPr>
        <w:shd w:val="clear" w:color="auto" w:fill="f5f8ee" w:themeFill="accent3" w:themeFillTint="19"/>
        <w:tcBorders/>
      </w:tcPr>
    </w:tblStylePr>
    <w:tblStylePr w:type="lastCol">
      <w:rPr>
        <w:b w:val="0"/>
        <w:bCs w:val="0"/>
        <w:color w:val="000000" w:themeColor="text1"/>
      </w:rPr>
      <w:pPr>
        <w:pBdr/>
        <w:spacing/>
        <w:ind/>
      </w:pPr>
      <w:tblPr>
        <w:tblBorders/>
      </w:tblPr>
      <w:tcPr>
        <w:shd w:val="clear" w:color="auto" w:fill="eaf1dd" w:themeFill="accent3" w:themeFillTint="33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bCs/>
        <w:color w:val="000000" w:themeColor="text1"/>
      </w:rPr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single" w:color="000000" w:themeColor="text1" w:sz="12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shd w:val="clear" w:color="auto" w:fill="ffffff" w:themeFill="background1"/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4">
    <w:name w:val="Medium Grid 2 Accent 4"/>
    <w:basedOn w:val="703"/>
    <w:uiPriority w:val="68"/>
    <w:pPr>
      <w:pBdr/>
      <w:spacing w:after="0" w:line="240" w:lineRule="auto"/>
      <w:ind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</w:tblPr>
    <w:tcPr>
      <w:shd w:val="clear" w:color="auto" w:fill="dfd8e8" w:themeFill="accent4" w:themeFillTint="3F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bfb1d0" w:themeFill="accent4" w:themeFillTint="7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bfb1d0" w:themeFill="accent4" w:themeFillTint="7F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  <w:color w:val="000000" w:themeColor="text1"/>
      </w:rPr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bCs/>
        <w:color w:val="000000" w:themeColor="text1"/>
      </w:rPr>
      <w:pPr>
        <w:pBdr/>
        <w:spacing/>
        <w:ind/>
      </w:pPr>
      <w:tblPr>
        <w:tblBorders/>
      </w:tblPr>
      <w:tcPr>
        <w:shd w:val="clear" w:color="auto" w:fill="f2eff6" w:themeFill="accent4" w:themeFillTint="19"/>
        <w:tcBorders/>
      </w:tcPr>
    </w:tblStylePr>
    <w:tblStylePr w:type="lastCol">
      <w:rPr>
        <w:b w:val="0"/>
        <w:bCs w:val="0"/>
        <w:color w:val="000000" w:themeColor="text1"/>
      </w:rPr>
      <w:pPr>
        <w:pBdr/>
        <w:spacing/>
        <w:ind/>
      </w:pPr>
      <w:tblPr>
        <w:tblBorders/>
      </w:tblPr>
      <w:tcPr>
        <w:shd w:val="clear" w:color="auto" w:fill="e5dfec" w:themeFill="accent4" w:themeFillTint="33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bCs/>
        <w:color w:val="000000" w:themeColor="text1"/>
      </w:rPr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single" w:color="000000" w:themeColor="text1" w:sz="12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shd w:val="clear" w:color="auto" w:fill="ffffff" w:themeFill="background1"/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5">
    <w:name w:val="Medium Grid 2 Accent 5"/>
    <w:basedOn w:val="703"/>
    <w:uiPriority w:val="68"/>
    <w:pPr>
      <w:pBdr/>
      <w:spacing w:after="0" w:line="240" w:lineRule="auto"/>
      <w:ind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</w:tblPr>
    <w:tcPr>
      <w:shd w:val="clear" w:color="auto" w:fill="d2eaf1" w:themeFill="accent5" w:themeFillTint="3F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a5d5e2" w:themeFill="accent5" w:themeFillTint="7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a5d5e2" w:themeFill="accent5" w:themeFillTint="7F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  <w:color w:val="000000" w:themeColor="text1"/>
      </w:rPr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bCs/>
        <w:color w:val="000000" w:themeColor="text1"/>
      </w:rPr>
      <w:pPr>
        <w:pBdr/>
        <w:spacing/>
        <w:ind/>
      </w:pPr>
      <w:tblPr>
        <w:tblBorders/>
      </w:tblPr>
      <w:tcPr>
        <w:shd w:val="clear" w:color="auto" w:fill="edf6f9" w:themeFill="accent5" w:themeFillTint="19"/>
        <w:tcBorders/>
      </w:tcPr>
    </w:tblStylePr>
    <w:tblStylePr w:type="lastCol">
      <w:rPr>
        <w:b w:val="0"/>
        <w:bCs w:val="0"/>
        <w:color w:val="000000" w:themeColor="text1"/>
      </w:rPr>
      <w:pPr>
        <w:pBdr/>
        <w:spacing/>
        <w:ind/>
      </w:pPr>
      <w:tblPr>
        <w:tblBorders/>
      </w:tblPr>
      <w:tcPr>
        <w:shd w:val="clear" w:color="auto" w:fill="daeef3" w:themeFill="accent5" w:themeFillTint="33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bCs/>
        <w:color w:val="000000" w:themeColor="text1"/>
      </w:rPr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single" w:color="000000" w:themeColor="text1" w:sz="12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shd w:val="clear" w:color="auto" w:fill="ffffff" w:themeFill="background1"/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6">
    <w:name w:val="Medium Grid 2 Accent 6"/>
    <w:basedOn w:val="703"/>
    <w:uiPriority w:val="68"/>
    <w:pPr>
      <w:pBdr/>
      <w:spacing w:after="0" w:line="240" w:lineRule="auto"/>
      <w:ind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</w:tblPr>
    <w:tcPr>
      <w:shd w:val="clear" w:color="auto" w:fill="fde4d0" w:themeFill="accent6" w:themeFillTint="3F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fbcaa2" w:themeFill="accent6" w:themeFillTint="7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fbcaa2" w:themeFill="accent6" w:themeFillTint="7F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  <w:color w:val="000000" w:themeColor="text1"/>
      </w:rPr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bCs/>
        <w:color w:val="000000" w:themeColor="text1"/>
      </w:rPr>
      <w:pPr>
        <w:pBdr/>
        <w:spacing/>
        <w:ind/>
      </w:pPr>
      <w:tblPr>
        <w:tblBorders/>
      </w:tblPr>
      <w:tcPr>
        <w:shd w:val="clear" w:color="auto" w:fill="fef4ec" w:themeFill="accent6" w:themeFillTint="19"/>
        <w:tcBorders/>
      </w:tcPr>
    </w:tblStylePr>
    <w:tblStylePr w:type="lastCol">
      <w:rPr>
        <w:b w:val="0"/>
        <w:bCs w:val="0"/>
        <w:color w:val="000000" w:themeColor="text1"/>
      </w:rPr>
      <w:pPr>
        <w:pBdr/>
        <w:spacing/>
        <w:ind/>
      </w:pPr>
      <w:tblPr>
        <w:tblBorders/>
      </w:tblPr>
      <w:tcPr>
        <w:shd w:val="clear" w:color="auto" w:fill="fde9d9" w:themeFill="accent6" w:themeFillTint="33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bCs/>
        <w:color w:val="000000" w:themeColor="text1"/>
      </w:rPr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single" w:color="000000" w:themeColor="text1" w:sz="12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shd w:val="clear" w:color="auto" w:fill="ffffff" w:themeFill="background1"/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7">
    <w:name w:val="Medium Grid 3"/>
    <w:basedOn w:val="703"/>
    <w:uiPriority w:val="69"/>
    <w:pPr>
      <w:pBdr/>
      <w:spacing w:after="0" w:line="240" w:lineRule="auto"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c0c0c0" w:themeFill="text1" w:themeFillTint="3F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808080" w:themeFill="text1" w:themeFillTint="7F"/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808080" w:themeFill="text1" w:themeFillTint="7F"/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  <w:i w:val="0"/>
        <w:iCs w:val="0"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000000" w:themeFill="text1"/>
        <w:tcBorders>
          <w:left w:val="single" w:color="ffffff" w:themeColor="background1" w:sz="8" w:space="0"/>
          <w:right w:val="single" w:color="ffffff" w:themeColor="background1" w:sz="24" w:space="0"/>
        </w:tcBorders>
      </w:tcPr>
    </w:tblStylePr>
    <w:tblStylePr w:type="firstRow">
      <w:rPr>
        <w:b/>
        <w:bCs/>
        <w:i w:val="0"/>
        <w:iCs w:val="0"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000000" w:themeFill="text1"/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</w:tcBorders>
      </w:tcPr>
    </w:tblStylePr>
    <w:tblStylePr w:type="lastCol">
      <w:rPr>
        <w:b/>
        <w:bCs/>
        <w:i w:val="0"/>
        <w:iCs w:val="0"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000000" w:themeFill="text1"/>
        <w:tcBorders>
          <w:top w:val="none" w:color="000000" w:sz="4" w:space="0"/>
          <w:left w:val="single" w:color="ffffff" w:themeColor="background1" w:sz="2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bCs/>
        <w:i w:val="0"/>
        <w:iCs w:val="0"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000000" w:themeFill="text1"/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8">
    <w:name w:val="Medium Grid 3 Accent 1"/>
    <w:basedOn w:val="703"/>
    <w:uiPriority w:val="69"/>
    <w:pPr>
      <w:pBdr/>
      <w:spacing w:after="0" w:line="240" w:lineRule="auto"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3dfee" w:themeFill="accent1" w:themeFillTint="3F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a7bfde" w:themeFill="accent1" w:themeFillTint="7F"/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a7bfde" w:themeFill="accent1" w:themeFillTint="7F"/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  <w:i w:val="0"/>
        <w:iCs w:val="0"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4f81bd" w:themeFill="accent1"/>
        <w:tcBorders>
          <w:left w:val="single" w:color="ffffff" w:themeColor="background1" w:sz="8" w:space="0"/>
          <w:right w:val="single" w:color="ffffff" w:themeColor="background1" w:sz="24" w:space="0"/>
        </w:tcBorders>
      </w:tcPr>
    </w:tblStylePr>
    <w:tblStylePr w:type="firstRow">
      <w:rPr>
        <w:b/>
        <w:bCs/>
        <w:i w:val="0"/>
        <w:iCs w:val="0"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4f81bd" w:themeFill="accent1"/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</w:tcBorders>
      </w:tcPr>
    </w:tblStylePr>
    <w:tblStylePr w:type="lastCol">
      <w:rPr>
        <w:b/>
        <w:bCs/>
        <w:i w:val="0"/>
        <w:iCs w:val="0"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4f81bd" w:themeFill="accent1"/>
        <w:tcBorders>
          <w:top w:val="none" w:color="000000" w:sz="4" w:space="0"/>
          <w:left w:val="single" w:color="ffffff" w:themeColor="background1" w:sz="2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bCs/>
        <w:i w:val="0"/>
        <w:iCs w:val="0"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4f81bd" w:themeFill="accent1"/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9">
    <w:name w:val="Medium Grid 3 Accent 2"/>
    <w:basedOn w:val="703"/>
    <w:uiPriority w:val="69"/>
    <w:pPr>
      <w:pBdr/>
      <w:spacing w:after="0" w:line="240" w:lineRule="auto"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efd3d2" w:themeFill="accent2" w:themeFillTint="3F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dfa7a6" w:themeFill="accent2" w:themeFillTint="7F"/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dfa7a6" w:themeFill="accent2" w:themeFillTint="7F"/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  <w:i w:val="0"/>
        <w:iCs w:val="0"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c0504d" w:themeFill="accent2"/>
        <w:tcBorders>
          <w:left w:val="single" w:color="ffffff" w:themeColor="background1" w:sz="8" w:space="0"/>
          <w:right w:val="single" w:color="ffffff" w:themeColor="background1" w:sz="24" w:space="0"/>
        </w:tcBorders>
      </w:tcPr>
    </w:tblStylePr>
    <w:tblStylePr w:type="firstRow">
      <w:rPr>
        <w:b/>
        <w:bCs/>
        <w:i w:val="0"/>
        <w:iCs w:val="0"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c0504d" w:themeFill="accent2"/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</w:tcBorders>
      </w:tcPr>
    </w:tblStylePr>
    <w:tblStylePr w:type="lastCol">
      <w:rPr>
        <w:b/>
        <w:bCs/>
        <w:i w:val="0"/>
        <w:iCs w:val="0"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c0504d" w:themeFill="accent2"/>
        <w:tcBorders>
          <w:top w:val="none" w:color="000000" w:sz="4" w:space="0"/>
          <w:left w:val="single" w:color="ffffff" w:themeColor="background1" w:sz="2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bCs/>
        <w:i w:val="0"/>
        <w:iCs w:val="0"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c0504d" w:themeFill="accent2"/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0">
    <w:name w:val="Medium Grid 3 Accent 3"/>
    <w:basedOn w:val="703"/>
    <w:uiPriority w:val="69"/>
    <w:pPr>
      <w:pBdr/>
      <w:spacing w:after="0" w:line="240" w:lineRule="auto"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e6eed5" w:themeFill="accent3" w:themeFillTint="3F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cdddac" w:themeFill="accent3" w:themeFillTint="7F"/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cdddac" w:themeFill="accent3" w:themeFillTint="7F"/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  <w:i w:val="0"/>
        <w:iCs w:val="0"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9bbb59" w:themeFill="accent3"/>
        <w:tcBorders>
          <w:left w:val="single" w:color="ffffff" w:themeColor="background1" w:sz="8" w:space="0"/>
          <w:right w:val="single" w:color="ffffff" w:themeColor="background1" w:sz="24" w:space="0"/>
        </w:tcBorders>
      </w:tcPr>
    </w:tblStylePr>
    <w:tblStylePr w:type="firstRow">
      <w:rPr>
        <w:b/>
        <w:bCs/>
        <w:i w:val="0"/>
        <w:iCs w:val="0"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9bbb59" w:themeFill="accent3"/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</w:tcBorders>
      </w:tcPr>
    </w:tblStylePr>
    <w:tblStylePr w:type="lastCol">
      <w:rPr>
        <w:b/>
        <w:bCs/>
        <w:i w:val="0"/>
        <w:iCs w:val="0"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9bbb59" w:themeFill="accent3"/>
        <w:tcBorders>
          <w:top w:val="none" w:color="000000" w:sz="4" w:space="0"/>
          <w:left w:val="single" w:color="ffffff" w:themeColor="background1" w:sz="2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bCs/>
        <w:i w:val="0"/>
        <w:iCs w:val="0"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9bbb59" w:themeFill="accent3"/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1">
    <w:name w:val="Medium Grid 3 Accent 4"/>
    <w:basedOn w:val="703"/>
    <w:uiPriority w:val="69"/>
    <w:pPr>
      <w:pBdr/>
      <w:spacing w:after="0" w:line="240" w:lineRule="auto"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fd8e8" w:themeFill="accent4" w:themeFillTint="3F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bfb1d0" w:themeFill="accent4" w:themeFillTint="7F"/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bfb1d0" w:themeFill="accent4" w:themeFillTint="7F"/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  <w:i w:val="0"/>
        <w:iCs w:val="0"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8064a2" w:themeFill="accent4"/>
        <w:tcBorders>
          <w:left w:val="single" w:color="ffffff" w:themeColor="background1" w:sz="8" w:space="0"/>
          <w:right w:val="single" w:color="ffffff" w:themeColor="background1" w:sz="24" w:space="0"/>
        </w:tcBorders>
      </w:tcPr>
    </w:tblStylePr>
    <w:tblStylePr w:type="firstRow">
      <w:rPr>
        <w:b/>
        <w:bCs/>
        <w:i w:val="0"/>
        <w:iCs w:val="0"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8064a2" w:themeFill="accent4"/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</w:tcBorders>
      </w:tcPr>
    </w:tblStylePr>
    <w:tblStylePr w:type="lastCol">
      <w:rPr>
        <w:b/>
        <w:bCs/>
        <w:i w:val="0"/>
        <w:iCs w:val="0"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8064a2" w:themeFill="accent4"/>
        <w:tcBorders>
          <w:top w:val="none" w:color="000000" w:sz="4" w:space="0"/>
          <w:left w:val="single" w:color="ffffff" w:themeColor="background1" w:sz="2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bCs/>
        <w:i w:val="0"/>
        <w:iCs w:val="0"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8064a2" w:themeFill="accent4"/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2">
    <w:name w:val="Medium Grid 3 Accent 5"/>
    <w:basedOn w:val="703"/>
    <w:uiPriority w:val="69"/>
    <w:pPr>
      <w:pBdr/>
      <w:spacing w:after="0" w:line="240" w:lineRule="auto"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2eaf1" w:themeFill="accent5" w:themeFillTint="3F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a5d5e2" w:themeFill="accent5" w:themeFillTint="7F"/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a5d5e2" w:themeFill="accent5" w:themeFillTint="7F"/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  <w:i w:val="0"/>
        <w:iCs w:val="0"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4bacc6" w:themeFill="accent5"/>
        <w:tcBorders>
          <w:left w:val="single" w:color="ffffff" w:themeColor="background1" w:sz="8" w:space="0"/>
          <w:right w:val="single" w:color="ffffff" w:themeColor="background1" w:sz="24" w:space="0"/>
        </w:tcBorders>
      </w:tcPr>
    </w:tblStylePr>
    <w:tblStylePr w:type="firstRow">
      <w:rPr>
        <w:b/>
        <w:bCs/>
        <w:i w:val="0"/>
        <w:iCs w:val="0"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4bacc6" w:themeFill="accent5"/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</w:tcBorders>
      </w:tcPr>
    </w:tblStylePr>
    <w:tblStylePr w:type="lastCol">
      <w:rPr>
        <w:b/>
        <w:bCs/>
        <w:i w:val="0"/>
        <w:iCs w:val="0"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4bacc6" w:themeFill="accent5"/>
        <w:tcBorders>
          <w:top w:val="none" w:color="000000" w:sz="4" w:space="0"/>
          <w:left w:val="single" w:color="ffffff" w:themeColor="background1" w:sz="2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bCs/>
        <w:i w:val="0"/>
        <w:iCs w:val="0"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4bacc6" w:themeFill="accent5"/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3">
    <w:name w:val="Medium Grid 3 Accent 6"/>
    <w:basedOn w:val="703"/>
    <w:uiPriority w:val="69"/>
    <w:pPr>
      <w:pBdr/>
      <w:spacing w:after="0" w:line="240" w:lineRule="auto"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fde4d0" w:themeFill="accent6" w:themeFillTint="3F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fbcaa2" w:themeFill="accent6" w:themeFillTint="7F"/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fbcaa2" w:themeFill="accent6" w:themeFillTint="7F"/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  <w:i w:val="0"/>
        <w:iCs w:val="0"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f79646" w:themeFill="accent6"/>
        <w:tcBorders>
          <w:left w:val="single" w:color="ffffff" w:themeColor="background1" w:sz="8" w:space="0"/>
          <w:right w:val="single" w:color="ffffff" w:themeColor="background1" w:sz="24" w:space="0"/>
        </w:tcBorders>
      </w:tcPr>
    </w:tblStylePr>
    <w:tblStylePr w:type="firstRow">
      <w:rPr>
        <w:b/>
        <w:bCs/>
        <w:i w:val="0"/>
        <w:iCs w:val="0"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f79646" w:themeFill="accent6"/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</w:tcBorders>
      </w:tcPr>
    </w:tblStylePr>
    <w:tblStylePr w:type="lastCol">
      <w:rPr>
        <w:b/>
        <w:bCs/>
        <w:i w:val="0"/>
        <w:iCs w:val="0"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f79646" w:themeFill="accent6"/>
        <w:tcBorders>
          <w:top w:val="none" w:color="000000" w:sz="4" w:space="0"/>
          <w:left w:val="single" w:color="ffffff" w:themeColor="background1" w:sz="2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bCs/>
        <w:i w:val="0"/>
        <w:iCs w:val="0"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f79646" w:themeFill="accent6"/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4">
    <w:name w:val="Dark List"/>
    <w:basedOn w:val="703"/>
    <w:uiPriority w:val="70"/>
    <w:pPr>
      <w:pBdr/>
      <w:spacing w:after="0" w:line="240" w:lineRule="auto"/>
      <w:ind/>
    </w:pPr>
    <w:rPr>
      <w:color w:val="ffffff" w:themeColor="background1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/>
    </w:tblPr>
    <w:tcPr>
      <w:shd w:val="clear" w:color="auto" w:fill="000000" w:themeFill="text1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000000" w:themeFill="text1" w:themeFillShade="B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000000" w:themeFill="text1" w:themeFillShade="B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shd w:val="clear" w:color="auto" w:fill="000000" w:themeFill="text1" w:themeFillShade="B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ffff" w:themeColor="background1" w:sz="18" w:space="0"/>
        </w:tcBorders>
      </w:tcPr>
    </w:tblStylePr>
    <w:tblStylePr w:type="firstRow">
      <w:rPr>
        <w:b/>
        <w:bCs/>
      </w:rPr>
      <w:pPr>
        <w:pBdr/>
        <w:spacing/>
        <w:ind/>
      </w:pPr>
      <w:tblPr>
        <w:tblBorders/>
      </w:tblPr>
      <w:tcPr>
        <w:shd w:val="clear" w:color="auto" w:fill="000000" w:themeFill="text1"/>
        <w:tcBorders>
          <w:top w:val="none" w:color="000000" w:sz="4" w:space="0"/>
          <w:left w:val="none" w:color="000000" w:sz="4" w:space="0"/>
          <w:bottom w:val="single" w:color="ffffff" w:themeColor="background1" w:sz="18" w:space="0"/>
          <w:right w:val="none" w:color="000000" w:sz="4" w:space="0"/>
        </w:tcBorders>
      </w:tcPr>
    </w:tblStylePr>
    <w:tblStylePr w:type="lastCol">
      <w:pPr>
        <w:pBdr/>
        <w:spacing/>
        <w:ind/>
      </w:pPr>
      <w:tblPr>
        <w:tblBorders/>
      </w:tblPr>
      <w:tcPr>
        <w:shd w:val="clear" w:color="auto" w:fill="000000" w:themeFill="text1" w:themeFillShade="BF"/>
        <w:tcBorders>
          <w:top w:val="none" w:color="000000" w:sz="4" w:space="0"/>
          <w:left w:val="single" w:color="ffffff" w:themeColor="background1" w:sz="18" w:space="0"/>
          <w:bottom w:val="none" w:color="000000" w:sz="4" w:space="0"/>
          <w:right w:val="none" w:color="000000" w:sz="4" w:space="0"/>
        </w:tcBorders>
      </w:tcPr>
    </w:tblStylePr>
    <w:tblStylePr w:type="lastRow">
      <w:pPr>
        <w:pBdr/>
        <w:spacing/>
        <w:ind/>
      </w:pPr>
      <w:tblPr>
        <w:tblBorders/>
      </w:tblPr>
      <w:tcPr>
        <w:shd w:val="clear" w:color="auto" w:fill="000000" w:themeFill="text1" w:themeFillShade="7F"/>
        <w:tcBorders>
          <w:top w:val="single" w:color="ffffff" w:themeColor="background1" w:sz="18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5">
    <w:name w:val="Dark List Accent 1"/>
    <w:basedOn w:val="703"/>
    <w:uiPriority w:val="70"/>
    <w:pPr>
      <w:pBdr/>
      <w:spacing w:after="0" w:line="240" w:lineRule="auto"/>
      <w:ind/>
    </w:pPr>
    <w:rPr>
      <w:color w:val="ffffff" w:themeColor="background1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/>
    </w:tblPr>
    <w:tcPr>
      <w:shd w:val="clear" w:color="auto" w:fill="4f81bd" w:themeFill="accent1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365f91" w:themeFill="accent1" w:themeFillShade="B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365f91" w:themeFill="accent1" w:themeFillShade="B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shd w:val="clear" w:color="auto" w:fill="365f91" w:themeFill="accent1" w:themeFillShade="B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ffff" w:themeColor="background1" w:sz="18" w:space="0"/>
        </w:tcBorders>
      </w:tcPr>
    </w:tblStylePr>
    <w:tblStylePr w:type="firstRow">
      <w:rPr>
        <w:b/>
        <w:bCs/>
      </w:rPr>
      <w:pPr>
        <w:pBdr/>
        <w:spacing/>
        <w:ind/>
      </w:pPr>
      <w:tblPr>
        <w:tblBorders/>
      </w:tblPr>
      <w:tcPr>
        <w:shd w:val="clear" w:color="auto" w:fill="000000" w:themeFill="text1"/>
        <w:tcBorders>
          <w:top w:val="none" w:color="000000" w:sz="4" w:space="0"/>
          <w:left w:val="none" w:color="000000" w:sz="4" w:space="0"/>
          <w:bottom w:val="single" w:color="ffffff" w:themeColor="background1" w:sz="18" w:space="0"/>
          <w:right w:val="none" w:color="000000" w:sz="4" w:space="0"/>
        </w:tcBorders>
      </w:tcPr>
    </w:tblStylePr>
    <w:tblStylePr w:type="lastCol">
      <w:pPr>
        <w:pBdr/>
        <w:spacing/>
        <w:ind/>
      </w:pPr>
      <w:tblPr>
        <w:tblBorders/>
      </w:tblPr>
      <w:tcPr>
        <w:shd w:val="clear" w:color="auto" w:fill="365f91" w:themeFill="accent1" w:themeFillShade="BF"/>
        <w:tcBorders>
          <w:top w:val="none" w:color="000000" w:sz="4" w:space="0"/>
          <w:left w:val="single" w:color="ffffff" w:themeColor="background1" w:sz="18" w:space="0"/>
          <w:bottom w:val="none" w:color="000000" w:sz="4" w:space="0"/>
          <w:right w:val="none" w:color="000000" w:sz="4" w:space="0"/>
        </w:tcBorders>
      </w:tcPr>
    </w:tblStylePr>
    <w:tblStylePr w:type="lastRow">
      <w:pPr>
        <w:pBdr/>
        <w:spacing/>
        <w:ind/>
      </w:pPr>
      <w:tblPr>
        <w:tblBorders/>
      </w:tblPr>
      <w:tcPr>
        <w:shd w:val="clear" w:color="auto" w:fill="243f60" w:themeFill="accent1" w:themeFillShade="7F"/>
        <w:tcBorders>
          <w:top w:val="single" w:color="ffffff" w:themeColor="background1" w:sz="18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6">
    <w:name w:val="Dark List Accent 2"/>
    <w:basedOn w:val="703"/>
    <w:uiPriority w:val="70"/>
    <w:pPr>
      <w:pBdr/>
      <w:spacing w:after="0" w:line="240" w:lineRule="auto"/>
      <w:ind/>
    </w:pPr>
    <w:rPr>
      <w:color w:val="ffffff" w:themeColor="background1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/>
    </w:tblPr>
    <w:tcPr>
      <w:shd w:val="clear" w:color="auto" w:fill="c0504d" w:themeFill="accent2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943634" w:themeFill="accent2" w:themeFillShade="B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943634" w:themeFill="accent2" w:themeFillShade="B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shd w:val="clear" w:color="auto" w:fill="943634" w:themeFill="accent2" w:themeFillShade="B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ffff" w:themeColor="background1" w:sz="18" w:space="0"/>
        </w:tcBorders>
      </w:tcPr>
    </w:tblStylePr>
    <w:tblStylePr w:type="firstRow">
      <w:rPr>
        <w:b/>
        <w:bCs/>
      </w:rPr>
      <w:pPr>
        <w:pBdr/>
        <w:spacing/>
        <w:ind/>
      </w:pPr>
      <w:tblPr>
        <w:tblBorders/>
      </w:tblPr>
      <w:tcPr>
        <w:shd w:val="clear" w:color="auto" w:fill="000000" w:themeFill="text1"/>
        <w:tcBorders>
          <w:top w:val="none" w:color="000000" w:sz="4" w:space="0"/>
          <w:left w:val="none" w:color="000000" w:sz="4" w:space="0"/>
          <w:bottom w:val="single" w:color="ffffff" w:themeColor="background1" w:sz="18" w:space="0"/>
          <w:right w:val="none" w:color="000000" w:sz="4" w:space="0"/>
        </w:tcBorders>
      </w:tcPr>
    </w:tblStylePr>
    <w:tblStylePr w:type="lastCol">
      <w:pPr>
        <w:pBdr/>
        <w:spacing/>
        <w:ind/>
      </w:pPr>
      <w:tblPr>
        <w:tblBorders/>
      </w:tblPr>
      <w:tcPr>
        <w:shd w:val="clear" w:color="auto" w:fill="943634" w:themeFill="accent2" w:themeFillShade="BF"/>
        <w:tcBorders>
          <w:top w:val="none" w:color="000000" w:sz="4" w:space="0"/>
          <w:left w:val="single" w:color="ffffff" w:themeColor="background1" w:sz="18" w:space="0"/>
          <w:bottom w:val="none" w:color="000000" w:sz="4" w:space="0"/>
          <w:right w:val="none" w:color="000000" w:sz="4" w:space="0"/>
        </w:tcBorders>
      </w:tcPr>
    </w:tblStylePr>
    <w:tblStylePr w:type="lastRow">
      <w:pPr>
        <w:pBdr/>
        <w:spacing/>
        <w:ind/>
      </w:pPr>
      <w:tblPr>
        <w:tblBorders/>
      </w:tblPr>
      <w:tcPr>
        <w:shd w:val="clear" w:color="auto" w:fill="622423" w:themeFill="accent2" w:themeFillShade="7F"/>
        <w:tcBorders>
          <w:top w:val="single" w:color="ffffff" w:themeColor="background1" w:sz="18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7">
    <w:name w:val="Dark List Accent 3"/>
    <w:basedOn w:val="703"/>
    <w:uiPriority w:val="70"/>
    <w:pPr>
      <w:pBdr/>
      <w:spacing w:after="0" w:line="240" w:lineRule="auto"/>
      <w:ind/>
    </w:pPr>
    <w:rPr>
      <w:color w:val="ffffff" w:themeColor="background1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/>
    </w:tblPr>
    <w:tcPr>
      <w:shd w:val="clear" w:color="auto" w:fill="9bbb59" w:themeFill="accent3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76923c" w:themeFill="accent3" w:themeFillShade="B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76923c" w:themeFill="accent3" w:themeFillShade="B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shd w:val="clear" w:color="auto" w:fill="76923c" w:themeFill="accent3" w:themeFillShade="B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ffff" w:themeColor="background1" w:sz="18" w:space="0"/>
        </w:tcBorders>
      </w:tcPr>
    </w:tblStylePr>
    <w:tblStylePr w:type="firstRow">
      <w:rPr>
        <w:b/>
        <w:bCs/>
      </w:rPr>
      <w:pPr>
        <w:pBdr/>
        <w:spacing/>
        <w:ind/>
      </w:pPr>
      <w:tblPr>
        <w:tblBorders/>
      </w:tblPr>
      <w:tcPr>
        <w:shd w:val="clear" w:color="auto" w:fill="000000" w:themeFill="text1"/>
        <w:tcBorders>
          <w:top w:val="none" w:color="000000" w:sz="4" w:space="0"/>
          <w:left w:val="none" w:color="000000" w:sz="4" w:space="0"/>
          <w:bottom w:val="single" w:color="ffffff" w:themeColor="background1" w:sz="18" w:space="0"/>
          <w:right w:val="none" w:color="000000" w:sz="4" w:space="0"/>
        </w:tcBorders>
      </w:tcPr>
    </w:tblStylePr>
    <w:tblStylePr w:type="lastCol">
      <w:pPr>
        <w:pBdr/>
        <w:spacing/>
        <w:ind/>
      </w:pPr>
      <w:tblPr>
        <w:tblBorders/>
      </w:tblPr>
      <w:tcPr>
        <w:shd w:val="clear" w:color="auto" w:fill="76923c" w:themeFill="accent3" w:themeFillShade="BF"/>
        <w:tcBorders>
          <w:top w:val="none" w:color="000000" w:sz="4" w:space="0"/>
          <w:left w:val="single" w:color="ffffff" w:themeColor="background1" w:sz="18" w:space="0"/>
          <w:bottom w:val="none" w:color="000000" w:sz="4" w:space="0"/>
          <w:right w:val="none" w:color="000000" w:sz="4" w:space="0"/>
        </w:tcBorders>
      </w:tcPr>
    </w:tblStylePr>
    <w:tblStylePr w:type="lastRow">
      <w:pPr>
        <w:pBdr/>
        <w:spacing/>
        <w:ind/>
      </w:pPr>
      <w:tblPr>
        <w:tblBorders/>
      </w:tblPr>
      <w:tcPr>
        <w:shd w:val="clear" w:color="auto" w:fill="4e6128" w:themeFill="accent3" w:themeFillShade="7F"/>
        <w:tcBorders>
          <w:top w:val="single" w:color="ffffff" w:themeColor="background1" w:sz="18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8">
    <w:name w:val="Dark List Accent 4"/>
    <w:basedOn w:val="703"/>
    <w:uiPriority w:val="70"/>
    <w:pPr>
      <w:pBdr/>
      <w:spacing w:after="0" w:line="240" w:lineRule="auto"/>
      <w:ind/>
    </w:pPr>
    <w:rPr>
      <w:color w:val="ffffff" w:themeColor="background1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/>
    </w:tblPr>
    <w:tcPr>
      <w:shd w:val="clear" w:color="auto" w:fill="8064a2" w:themeFill="accent4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5f497a" w:themeFill="accent4" w:themeFillShade="B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5f497a" w:themeFill="accent4" w:themeFillShade="B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shd w:val="clear" w:color="auto" w:fill="5f497a" w:themeFill="accent4" w:themeFillShade="B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ffff" w:themeColor="background1" w:sz="18" w:space="0"/>
        </w:tcBorders>
      </w:tcPr>
    </w:tblStylePr>
    <w:tblStylePr w:type="firstRow">
      <w:rPr>
        <w:b/>
        <w:bCs/>
      </w:rPr>
      <w:pPr>
        <w:pBdr/>
        <w:spacing/>
        <w:ind/>
      </w:pPr>
      <w:tblPr>
        <w:tblBorders/>
      </w:tblPr>
      <w:tcPr>
        <w:shd w:val="clear" w:color="auto" w:fill="000000" w:themeFill="text1"/>
        <w:tcBorders>
          <w:top w:val="none" w:color="000000" w:sz="4" w:space="0"/>
          <w:left w:val="none" w:color="000000" w:sz="4" w:space="0"/>
          <w:bottom w:val="single" w:color="ffffff" w:themeColor="background1" w:sz="18" w:space="0"/>
          <w:right w:val="none" w:color="000000" w:sz="4" w:space="0"/>
        </w:tcBorders>
      </w:tcPr>
    </w:tblStylePr>
    <w:tblStylePr w:type="lastCol">
      <w:pPr>
        <w:pBdr/>
        <w:spacing/>
        <w:ind/>
      </w:pPr>
      <w:tblPr>
        <w:tblBorders/>
      </w:tblPr>
      <w:tcPr>
        <w:shd w:val="clear" w:color="auto" w:fill="5f497a" w:themeFill="accent4" w:themeFillShade="BF"/>
        <w:tcBorders>
          <w:top w:val="none" w:color="000000" w:sz="4" w:space="0"/>
          <w:left w:val="single" w:color="ffffff" w:themeColor="background1" w:sz="18" w:space="0"/>
          <w:bottom w:val="none" w:color="000000" w:sz="4" w:space="0"/>
          <w:right w:val="none" w:color="000000" w:sz="4" w:space="0"/>
        </w:tcBorders>
      </w:tcPr>
    </w:tblStylePr>
    <w:tblStylePr w:type="lastRow">
      <w:pPr>
        <w:pBdr/>
        <w:spacing/>
        <w:ind/>
      </w:pPr>
      <w:tblPr>
        <w:tblBorders/>
      </w:tblPr>
      <w:tcPr>
        <w:shd w:val="clear" w:color="auto" w:fill="3f3151" w:themeFill="accent4" w:themeFillShade="7F"/>
        <w:tcBorders>
          <w:top w:val="single" w:color="ffffff" w:themeColor="background1" w:sz="18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9">
    <w:name w:val="Dark List Accent 5"/>
    <w:basedOn w:val="703"/>
    <w:uiPriority w:val="70"/>
    <w:pPr>
      <w:pBdr/>
      <w:spacing w:after="0" w:line="240" w:lineRule="auto"/>
      <w:ind/>
    </w:pPr>
    <w:rPr>
      <w:color w:val="ffffff" w:themeColor="background1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/>
    </w:tblPr>
    <w:tcPr>
      <w:shd w:val="clear" w:color="auto" w:fill="4bacc6" w:themeFill="accent5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31849b" w:themeFill="accent5" w:themeFillShade="B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31849b" w:themeFill="accent5" w:themeFillShade="B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shd w:val="clear" w:color="auto" w:fill="31849b" w:themeFill="accent5" w:themeFillShade="B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ffff" w:themeColor="background1" w:sz="18" w:space="0"/>
        </w:tcBorders>
      </w:tcPr>
    </w:tblStylePr>
    <w:tblStylePr w:type="firstRow">
      <w:rPr>
        <w:b/>
        <w:bCs/>
      </w:rPr>
      <w:pPr>
        <w:pBdr/>
        <w:spacing/>
        <w:ind/>
      </w:pPr>
      <w:tblPr>
        <w:tblBorders/>
      </w:tblPr>
      <w:tcPr>
        <w:shd w:val="clear" w:color="auto" w:fill="000000" w:themeFill="text1"/>
        <w:tcBorders>
          <w:top w:val="none" w:color="000000" w:sz="4" w:space="0"/>
          <w:left w:val="none" w:color="000000" w:sz="4" w:space="0"/>
          <w:bottom w:val="single" w:color="ffffff" w:themeColor="background1" w:sz="18" w:space="0"/>
          <w:right w:val="none" w:color="000000" w:sz="4" w:space="0"/>
        </w:tcBorders>
      </w:tcPr>
    </w:tblStylePr>
    <w:tblStylePr w:type="lastCol">
      <w:pPr>
        <w:pBdr/>
        <w:spacing/>
        <w:ind/>
      </w:pPr>
      <w:tblPr>
        <w:tblBorders/>
      </w:tblPr>
      <w:tcPr>
        <w:shd w:val="clear" w:color="auto" w:fill="31849b" w:themeFill="accent5" w:themeFillShade="BF"/>
        <w:tcBorders>
          <w:top w:val="none" w:color="000000" w:sz="4" w:space="0"/>
          <w:left w:val="single" w:color="ffffff" w:themeColor="background1" w:sz="18" w:space="0"/>
          <w:bottom w:val="none" w:color="000000" w:sz="4" w:space="0"/>
          <w:right w:val="none" w:color="000000" w:sz="4" w:space="0"/>
        </w:tcBorders>
      </w:tcPr>
    </w:tblStylePr>
    <w:tblStylePr w:type="lastRow">
      <w:pPr>
        <w:pBdr/>
        <w:spacing/>
        <w:ind/>
      </w:pPr>
      <w:tblPr>
        <w:tblBorders/>
      </w:tblPr>
      <w:tcPr>
        <w:shd w:val="clear" w:color="auto" w:fill="205867" w:themeFill="accent5" w:themeFillShade="7F"/>
        <w:tcBorders>
          <w:top w:val="single" w:color="ffffff" w:themeColor="background1" w:sz="18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0">
    <w:name w:val="Dark List Accent 6"/>
    <w:basedOn w:val="703"/>
    <w:uiPriority w:val="70"/>
    <w:pPr>
      <w:pBdr/>
      <w:spacing w:after="0" w:line="240" w:lineRule="auto"/>
      <w:ind/>
    </w:pPr>
    <w:rPr>
      <w:color w:val="ffffff" w:themeColor="background1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/>
    </w:tblPr>
    <w:tcPr>
      <w:shd w:val="clear" w:color="auto" w:fill="f79646" w:themeFill="accent6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e36c0a" w:themeFill="accent6" w:themeFillShade="B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e36c0a" w:themeFill="accent6" w:themeFillShade="B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shd w:val="clear" w:color="auto" w:fill="e36c0a" w:themeFill="accent6" w:themeFillShade="B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ffff" w:themeColor="background1" w:sz="18" w:space="0"/>
        </w:tcBorders>
      </w:tcPr>
    </w:tblStylePr>
    <w:tblStylePr w:type="firstRow">
      <w:rPr>
        <w:b/>
        <w:bCs/>
      </w:rPr>
      <w:pPr>
        <w:pBdr/>
        <w:spacing/>
        <w:ind/>
      </w:pPr>
      <w:tblPr>
        <w:tblBorders/>
      </w:tblPr>
      <w:tcPr>
        <w:shd w:val="clear" w:color="auto" w:fill="000000" w:themeFill="text1"/>
        <w:tcBorders>
          <w:top w:val="none" w:color="000000" w:sz="4" w:space="0"/>
          <w:left w:val="none" w:color="000000" w:sz="4" w:space="0"/>
          <w:bottom w:val="single" w:color="ffffff" w:themeColor="background1" w:sz="18" w:space="0"/>
          <w:right w:val="none" w:color="000000" w:sz="4" w:space="0"/>
        </w:tcBorders>
      </w:tcPr>
    </w:tblStylePr>
    <w:tblStylePr w:type="lastCol">
      <w:pPr>
        <w:pBdr/>
        <w:spacing/>
        <w:ind/>
      </w:pPr>
      <w:tblPr>
        <w:tblBorders/>
      </w:tblPr>
      <w:tcPr>
        <w:shd w:val="clear" w:color="auto" w:fill="e36c0a" w:themeFill="accent6" w:themeFillShade="BF"/>
        <w:tcBorders>
          <w:top w:val="none" w:color="000000" w:sz="4" w:space="0"/>
          <w:left w:val="single" w:color="ffffff" w:themeColor="background1" w:sz="18" w:space="0"/>
          <w:bottom w:val="none" w:color="000000" w:sz="4" w:space="0"/>
          <w:right w:val="none" w:color="000000" w:sz="4" w:space="0"/>
        </w:tcBorders>
      </w:tcPr>
    </w:tblStylePr>
    <w:tblStylePr w:type="lastRow">
      <w:pPr>
        <w:pBdr/>
        <w:spacing/>
        <w:ind/>
      </w:pPr>
      <w:tblPr>
        <w:tblBorders/>
      </w:tblPr>
      <w:tcPr>
        <w:shd w:val="clear" w:color="auto" w:fill="974706" w:themeFill="accent6" w:themeFillShade="7F"/>
        <w:tcBorders>
          <w:top w:val="single" w:color="ffffff" w:themeColor="background1" w:sz="18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1">
    <w:name w:val="Colorful Shading"/>
    <w:basedOn w:val="703"/>
    <w:uiPriority w:val="71"/>
    <w:pPr>
      <w:pBdr/>
      <w:spacing w:after="0" w:line="240" w:lineRule="auto"/>
      <w:ind/>
    </w:pPr>
    <w:rPr>
      <w:color w:val="000000" w:themeColor="text1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6e6e6" w:themeFill="text1" w:themeFillTint="19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808080" w:themeFill="text1" w:themeFillTint="7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999999" w:themeFill="text1" w:themeFillTint="66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000000" w:themeFill="text1" w:themeFillShade="99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bCs/>
      </w:rPr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none" w:color="000000" w:sz="4" w:space="0"/>
          <w:left w:val="none" w:color="000000" w:sz="4" w:space="0"/>
          <w:bottom w:val="single" w:color="c0504d" w:themeColor="accent2" w:sz="24" w:space="0"/>
          <w:right w:val="none" w:color="000000" w:sz="4" w:space="0"/>
        </w:tcBorders>
      </w:tcPr>
    </w:tblStylePr>
    <w:tblStylePr w:type="lastCol">
      <w:rPr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000000" w:themeFill="text1" w:themeFillShade="B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bCs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000000" w:themeFill="text1" w:themeFillShade="99"/>
        <w:tcBorders>
          <w:top w:val="single" w:color="ffffff" w:themeColor="background1" w:sz="6" w:space="0"/>
        </w:tcBorders>
      </w:tcPr>
    </w:tblStylePr>
    <w:tblStylePr w:type="nwCell">
      <w:rPr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neCell">
      <w:rPr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2">
    <w:name w:val="Colorful Shading Accent 1"/>
    <w:basedOn w:val="703"/>
    <w:uiPriority w:val="71"/>
    <w:pPr>
      <w:pBdr/>
      <w:spacing w:after="0" w:line="240" w:lineRule="auto"/>
      <w:ind/>
    </w:pPr>
    <w:rPr>
      <w:color w:val="000000" w:themeColor="text1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df2f8" w:themeFill="accent1" w:themeFillTint="19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a7bfde" w:themeFill="accent1" w:themeFillTint="7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b8cce4" w:themeFill="accent1" w:themeFillTint="66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2c4c74" w:themeFill="accent1" w:themeFillShade="99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bCs/>
      </w:rPr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none" w:color="000000" w:sz="4" w:space="0"/>
          <w:left w:val="none" w:color="000000" w:sz="4" w:space="0"/>
          <w:bottom w:val="single" w:color="c0504d" w:themeColor="accent2" w:sz="24" w:space="0"/>
          <w:right w:val="none" w:color="000000" w:sz="4" w:space="0"/>
        </w:tcBorders>
      </w:tcPr>
    </w:tblStylePr>
    <w:tblStylePr w:type="lastCol">
      <w:rPr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2c4c74" w:themeFill="accent1" w:themeFillShade="99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bCs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2c4c74" w:themeFill="accent1" w:themeFillShade="99"/>
        <w:tcBorders>
          <w:top w:val="single" w:color="ffffff" w:themeColor="background1" w:sz="6" w:space="0"/>
        </w:tcBorders>
      </w:tcPr>
    </w:tblStylePr>
    <w:tblStylePr w:type="nwCell">
      <w:rPr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neCell">
      <w:rPr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3">
    <w:name w:val="Colorful Shading Accent 2"/>
    <w:basedOn w:val="703"/>
    <w:uiPriority w:val="71"/>
    <w:pPr>
      <w:pBdr/>
      <w:spacing w:after="0" w:line="240" w:lineRule="auto"/>
      <w:ind/>
    </w:pPr>
    <w:rPr>
      <w:color w:val="000000" w:themeColor="text1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8eded" w:themeFill="accent2" w:themeFillTint="19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dfa7a6" w:themeFill="accent2" w:themeFillTint="7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e5b8b7" w:themeFill="accent2" w:themeFillTint="66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772c2a" w:themeFill="accent2" w:themeFillShade="99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bCs/>
      </w:rPr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none" w:color="000000" w:sz="4" w:space="0"/>
          <w:left w:val="none" w:color="000000" w:sz="4" w:space="0"/>
          <w:bottom w:val="single" w:color="c0504d" w:themeColor="accent2" w:sz="24" w:space="0"/>
          <w:right w:val="none" w:color="000000" w:sz="4" w:space="0"/>
        </w:tcBorders>
      </w:tcPr>
    </w:tblStylePr>
    <w:tblStylePr w:type="lastCol">
      <w:rPr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772c2a" w:themeFill="accent2" w:themeFillShade="99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bCs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772c2a" w:themeFill="accent2" w:themeFillShade="99"/>
        <w:tcBorders>
          <w:top w:val="single" w:color="ffffff" w:themeColor="background1" w:sz="6" w:space="0"/>
        </w:tcBorders>
      </w:tcPr>
    </w:tblStylePr>
    <w:tblStylePr w:type="nwCell">
      <w:rPr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neCell">
      <w:rPr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4">
    <w:name w:val="Colorful Shading Accent 3"/>
    <w:basedOn w:val="703"/>
    <w:uiPriority w:val="71"/>
    <w:pPr>
      <w:pBdr/>
      <w:spacing w:after="0" w:line="240" w:lineRule="auto"/>
      <w:ind/>
    </w:pPr>
    <w:rPr>
      <w:color w:val="000000" w:themeColor="text1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5f8ee" w:themeFill="accent3" w:themeFillTint="19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cdddac" w:themeFill="accent3" w:themeFillTint="7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d6e3bc" w:themeFill="accent3" w:themeFillTint="66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5e7530" w:themeFill="accent3" w:themeFillShade="99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bCs/>
      </w:rPr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none" w:color="000000" w:sz="4" w:space="0"/>
          <w:left w:val="none" w:color="000000" w:sz="4" w:space="0"/>
          <w:bottom w:val="single" w:color="8064a2" w:themeColor="accent4" w:sz="24" w:space="0"/>
          <w:right w:val="none" w:color="000000" w:sz="4" w:space="0"/>
        </w:tcBorders>
      </w:tcPr>
    </w:tblStylePr>
    <w:tblStylePr w:type="lastCol">
      <w:rPr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5e7530" w:themeFill="accent3" w:themeFillShade="99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bCs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5e7530" w:themeFill="accent3" w:themeFillShade="99"/>
        <w:tcBorders>
          <w:top w:val="single" w:color="ffffff" w:themeColor="background1" w:sz="6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5">
    <w:name w:val="Colorful Shading Accent 4"/>
    <w:basedOn w:val="703"/>
    <w:uiPriority w:val="71"/>
    <w:pPr>
      <w:pBdr/>
      <w:spacing w:after="0" w:line="240" w:lineRule="auto"/>
      <w:ind/>
    </w:pPr>
    <w:rPr>
      <w:color w:val="000000" w:themeColor="text1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2eff6" w:themeFill="accent4" w:themeFillTint="19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bfb1d0" w:themeFill="accent4" w:themeFillTint="7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ccc0d9" w:themeFill="accent4" w:themeFillTint="66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4c3b62" w:themeFill="accent4" w:themeFillShade="99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bCs/>
      </w:rPr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none" w:color="000000" w:sz="4" w:space="0"/>
          <w:left w:val="none" w:color="000000" w:sz="4" w:space="0"/>
          <w:bottom w:val="single" w:color="9bbb59" w:themeColor="accent3" w:sz="24" w:space="0"/>
          <w:right w:val="none" w:color="000000" w:sz="4" w:space="0"/>
        </w:tcBorders>
      </w:tcPr>
    </w:tblStylePr>
    <w:tblStylePr w:type="lastCol">
      <w:rPr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4c3b62" w:themeFill="accent4" w:themeFillShade="99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bCs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4c3b62" w:themeFill="accent4" w:themeFillShade="99"/>
        <w:tcBorders>
          <w:top w:val="single" w:color="ffffff" w:themeColor="background1" w:sz="6" w:space="0"/>
        </w:tcBorders>
      </w:tcPr>
    </w:tblStylePr>
    <w:tblStylePr w:type="nwCell">
      <w:rPr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neCell">
      <w:rPr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6">
    <w:name w:val="Colorful Shading Accent 5"/>
    <w:basedOn w:val="703"/>
    <w:uiPriority w:val="71"/>
    <w:pPr>
      <w:pBdr/>
      <w:spacing w:after="0" w:line="240" w:lineRule="auto"/>
      <w:ind/>
    </w:pPr>
    <w:rPr>
      <w:color w:val="000000" w:themeColor="text1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df6f9" w:themeFill="accent5" w:themeFillTint="19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a5d5e2" w:themeFill="accent5" w:themeFillTint="7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b6dde8" w:themeFill="accent5" w:themeFillTint="66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276a7c" w:themeFill="accent5" w:themeFillShade="99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bCs/>
      </w:rPr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none" w:color="000000" w:sz="4" w:space="0"/>
          <w:left w:val="none" w:color="000000" w:sz="4" w:space="0"/>
          <w:bottom w:val="single" w:color="f79646" w:themeColor="accent6" w:sz="24" w:space="0"/>
          <w:right w:val="none" w:color="000000" w:sz="4" w:space="0"/>
        </w:tcBorders>
      </w:tcPr>
    </w:tblStylePr>
    <w:tblStylePr w:type="lastCol">
      <w:rPr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276a7c" w:themeFill="accent5" w:themeFillShade="99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bCs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276a7c" w:themeFill="accent5" w:themeFillShade="99"/>
        <w:tcBorders>
          <w:top w:val="single" w:color="ffffff" w:themeColor="background1" w:sz="6" w:space="0"/>
        </w:tcBorders>
      </w:tcPr>
    </w:tblStylePr>
    <w:tblStylePr w:type="nwCell">
      <w:rPr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neCell">
      <w:rPr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7">
    <w:name w:val="Colorful Shading Accent 6"/>
    <w:basedOn w:val="703"/>
    <w:uiPriority w:val="71"/>
    <w:pPr>
      <w:pBdr/>
      <w:spacing w:after="0" w:line="240" w:lineRule="auto"/>
      <w:ind/>
    </w:pPr>
    <w:rPr>
      <w:color w:val="000000" w:themeColor="text1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ef4ec" w:themeFill="accent6" w:themeFillTint="19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fbcaa2" w:themeFill="accent6" w:themeFillTint="7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fbd4b4" w:themeFill="accent6" w:themeFillTint="66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b65608" w:themeFill="accent6" w:themeFillShade="99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bCs/>
      </w:rPr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none" w:color="000000" w:sz="4" w:space="0"/>
          <w:left w:val="none" w:color="000000" w:sz="4" w:space="0"/>
          <w:bottom w:val="single" w:color="4bacc6" w:themeColor="accent5" w:sz="24" w:space="0"/>
          <w:right w:val="none" w:color="000000" w:sz="4" w:space="0"/>
        </w:tcBorders>
      </w:tcPr>
    </w:tblStylePr>
    <w:tblStylePr w:type="lastCol">
      <w:rPr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b65608" w:themeFill="accent6" w:themeFillShade="99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bCs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b65608" w:themeFill="accent6" w:themeFillShade="99"/>
        <w:tcBorders>
          <w:top w:val="single" w:color="ffffff" w:themeColor="background1" w:sz="6" w:space="0"/>
        </w:tcBorders>
      </w:tcPr>
    </w:tblStylePr>
    <w:tblStylePr w:type="nwCell">
      <w:rPr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neCell">
      <w:rPr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8">
    <w:name w:val="Colorful List"/>
    <w:basedOn w:val="703"/>
    <w:uiPriority w:val="72"/>
    <w:pPr>
      <w:pBdr/>
      <w:spacing w:after="0" w:line="240" w:lineRule="auto"/>
      <w:ind/>
    </w:pPr>
    <w:rPr>
      <w:color w:val="000000" w:themeColor="text1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/>
    </w:tblPr>
    <w:tcPr>
      <w:shd w:val="clear" w:color="auto" w:fill="e6e6e6" w:themeFill="text1" w:themeFillTint="19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cccccc" w:themeFill="text1" w:themeFillTint="33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c0c0c0" w:themeFill="text1" w:themeFillTint="3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bCs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9e3a38" w:themeFill="accent2" w:themeFillShade="CC"/>
        <w:tcBorders>
          <w:bottom w:val="single" w:color="ffffff" w:themeColor="background1" w:sz="12" w:space="0"/>
        </w:tcBorders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bCs/>
        <w:color w:val="9e3a38" w:themeColor="accent2" w:themeShade="CC"/>
      </w:rPr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single" w:color="000000" w:themeColor="tex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9">
    <w:name w:val="Colorful List Accent 1"/>
    <w:basedOn w:val="703"/>
    <w:uiPriority w:val="72"/>
    <w:pPr>
      <w:pBdr/>
      <w:spacing w:after="0" w:line="240" w:lineRule="auto"/>
      <w:ind/>
    </w:pPr>
    <w:rPr>
      <w:color w:val="000000" w:themeColor="text1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/>
    </w:tblPr>
    <w:tcPr>
      <w:shd w:val="clear" w:color="auto" w:fill="edf2f8" w:themeFill="accent1" w:themeFillTint="19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dbe5f1" w:themeFill="accent1" w:themeFillTint="33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d3dfee" w:themeFill="accent1" w:themeFillTint="3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bCs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9e3a38" w:themeFill="accent2" w:themeFillShade="CC"/>
        <w:tcBorders>
          <w:bottom w:val="single" w:color="ffffff" w:themeColor="background1" w:sz="12" w:space="0"/>
        </w:tcBorders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bCs/>
        <w:color w:val="9e3a38" w:themeColor="accent2" w:themeShade="CC"/>
      </w:rPr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single" w:color="000000" w:themeColor="tex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0">
    <w:name w:val="Colorful List Accent 2"/>
    <w:basedOn w:val="703"/>
    <w:uiPriority w:val="72"/>
    <w:pPr>
      <w:pBdr/>
      <w:spacing w:after="0" w:line="240" w:lineRule="auto"/>
      <w:ind/>
    </w:pPr>
    <w:rPr>
      <w:color w:val="000000" w:themeColor="text1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/>
    </w:tblPr>
    <w:tcPr>
      <w:shd w:val="clear" w:color="auto" w:fill="f8eded" w:themeFill="accent2" w:themeFillTint="19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f2dbdb" w:themeFill="accent2" w:themeFillTint="33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efd3d2" w:themeFill="accent2" w:themeFillTint="3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bCs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9e3a38" w:themeFill="accent2" w:themeFillShade="CC"/>
        <w:tcBorders>
          <w:bottom w:val="single" w:color="ffffff" w:themeColor="background1" w:sz="12" w:space="0"/>
        </w:tcBorders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bCs/>
        <w:color w:val="9e3a38" w:themeColor="accent2" w:themeShade="CC"/>
      </w:rPr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single" w:color="000000" w:themeColor="tex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1">
    <w:name w:val="Colorful List Accent 3"/>
    <w:basedOn w:val="703"/>
    <w:uiPriority w:val="72"/>
    <w:pPr>
      <w:pBdr/>
      <w:spacing w:after="0" w:line="240" w:lineRule="auto"/>
      <w:ind/>
    </w:pPr>
    <w:rPr>
      <w:color w:val="000000" w:themeColor="text1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/>
    </w:tblPr>
    <w:tcPr>
      <w:shd w:val="clear" w:color="auto" w:fill="f5f8ee" w:themeFill="accent3" w:themeFillTint="19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eaf1dd" w:themeFill="accent3" w:themeFillTint="33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e6eed5" w:themeFill="accent3" w:themeFillTint="3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bCs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664e82" w:themeFill="accent4" w:themeFillShade="CC"/>
        <w:tcBorders>
          <w:bottom w:val="single" w:color="ffffff" w:themeColor="background1" w:sz="12" w:space="0"/>
        </w:tcBorders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bCs/>
        <w:color w:val="664e82" w:themeColor="accent4" w:themeShade="CC"/>
      </w:rPr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single" w:color="000000" w:themeColor="tex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2">
    <w:name w:val="Colorful List Accent 4"/>
    <w:basedOn w:val="703"/>
    <w:uiPriority w:val="72"/>
    <w:pPr>
      <w:pBdr/>
      <w:spacing w:after="0" w:line="240" w:lineRule="auto"/>
      <w:ind/>
    </w:pPr>
    <w:rPr>
      <w:color w:val="000000" w:themeColor="text1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/>
    </w:tblPr>
    <w:tcPr>
      <w:shd w:val="clear" w:color="auto" w:fill="f2eff6" w:themeFill="accent4" w:themeFillTint="19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e5dfec" w:themeFill="accent4" w:themeFillTint="33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dfd8e8" w:themeFill="accent4" w:themeFillTint="3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bCs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7e9c40" w:themeFill="accent3" w:themeFillShade="CC"/>
        <w:tcBorders>
          <w:bottom w:val="single" w:color="ffffff" w:themeColor="background1" w:sz="12" w:space="0"/>
        </w:tcBorders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bCs/>
        <w:color w:val="7e9c40" w:themeColor="accent3" w:themeShade="CC"/>
      </w:rPr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single" w:color="000000" w:themeColor="tex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3">
    <w:name w:val="Colorful List Accent 5"/>
    <w:basedOn w:val="703"/>
    <w:uiPriority w:val="72"/>
    <w:pPr>
      <w:pBdr/>
      <w:spacing w:after="0" w:line="240" w:lineRule="auto"/>
      <w:ind/>
    </w:pPr>
    <w:rPr>
      <w:color w:val="000000" w:themeColor="text1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/>
    </w:tblPr>
    <w:tcPr>
      <w:shd w:val="clear" w:color="auto" w:fill="edf6f9" w:themeFill="accent5" w:themeFillTint="19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daeef3" w:themeFill="accent5" w:themeFillTint="33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d2eaf1" w:themeFill="accent5" w:themeFillTint="3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bCs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f2730a" w:themeFill="accent6" w:themeFillShade="CC"/>
        <w:tcBorders>
          <w:bottom w:val="single" w:color="ffffff" w:themeColor="background1" w:sz="12" w:space="0"/>
        </w:tcBorders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bCs/>
        <w:color w:val="f2730a" w:themeColor="accent6" w:themeShade="CC"/>
      </w:rPr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single" w:color="000000" w:themeColor="tex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4">
    <w:name w:val="Colorful List Accent 6"/>
    <w:basedOn w:val="703"/>
    <w:uiPriority w:val="72"/>
    <w:pPr>
      <w:pBdr/>
      <w:spacing w:after="0" w:line="240" w:lineRule="auto"/>
      <w:ind/>
    </w:pPr>
    <w:rPr>
      <w:color w:val="000000" w:themeColor="text1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/>
    </w:tblPr>
    <w:tcPr>
      <w:shd w:val="clear" w:color="auto" w:fill="fef4ec" w:themeFill="accent6" w:themeFillTint="19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fde9d9" w:themeFill="accent6" w:themeFillTint="33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fde4d0" w:themeFill="accent6" w:themeFillTint="3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bCs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348da5" w:themeFill="accent5" w:themeFillShade="CC"/>
        <w:tcBorders>
          <w:bottom w:val="single" w:color="ffffff" w:themeColor="background1" w:sz="12" w:space="0"/>
        </w:tcBorders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bCs/>
        <w:color w:val="348da5" w:themeColor="accent5" w:themeShade="CC"/>
      </w:rPr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single" w:color="000000" w:themeColor="tex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5">
    <w:name w:val="Colorful Grid"/>
    <w:basedOn w:val="703"/>
    <w:uiPriority w:val="73"/>
    <w:pPr>
      <w:pBdr/>
      <w:spacing w:after="0" w:line="240" w:lineRule="auto"/>
      <w:ind/>
    </w:pPr>
    <w:rPr>
      <w:color w:val="000000" w:themeColor="text1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insideH w:val="single" w:color="ffffff" w:themeColor="background1" w:sz="4" w:space="0"/>
      </w:tblBorders>
    </w:tblPr>
    <w:tcPr>
      <w:shd w:val="clear" w:color="auto" w:fill="cccccc" w:themeFill="text1" w:themeFillTint="33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808080" w:themeFill="text1" w:themeFillTint="7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808080" w:themeFill="text1" w:themeFillTint="7F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000000" w:themeFill="text1" w:themeFillShade="BF"/>
        <w:tcBorders/>
      </w:tcPr>
    </w:tblStylePr>
    <w:tblStylePr w:type="firstRow">
      <w:rPr>
        <w:b/>
        <w:bCs/>
      </w:rPr>
      <w:pPr>
        <w:pBdr/>
        <w:spacing/>
        <w:ind/>
      </w:pPr>
      <w:tblPr>
        <w:tblBorders/>
      </w:tblPr>
      <w:tcPr>
        <w:shd w:val="clear" w:color="auto" w:fill="999999" w:themeFill="text1" w:themeFillTint="66"/>
        <w:tcBorders/>
      </w:tcPr>
    </w:tblStylePr>
    <w:tblStylePr w:type="lastCol">
      <w:rPr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000000" w:themeFill="text1" w:themeFillShade="BF"/>
        <w:tcBorders/>
      </w:tcPr>
    </w:tblStylePr>
    <w:tblStylePr w:type="lastRow">
      <w:rPr>
        <w:b/>
        <w:bCs/>
        <w:color w:val="000000" w:themeColor="text1"/>
      </w:rPr>
      <w:pPr>
        <w:pBdr/>
        <w:spacing/>
        <w:ind/>
      </w:pPr>
      <w:tblPr>
        <w:tblBorders/>
      </w:tblPr>
      <w:tcPr>
        <w:shd w:val="clear" w:color="auto" w:fill="999999" w:themeFill="text1" w:themeFillTint="6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6">
    <w:name w:val="Colorful Grid Accent 1"/>
    <w:basedOn w:val="703"/>
    <w:uiPriority w:val="73"/>
    <w:pPr>
      <w:pBdr/>
      <w:spacing w:after="0" w:line="240" w:lineRule="auto"/>
      <w:ind/>
    </w:pPr>
    <w:rPr>
      <w:color w:val="000000" w:themeColor="text1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insideH w:val="single" w:color="ffffff" w:themeColor="background1" w:sz="4" w:space="0"/>
      </w:tblBorders>
    </w:tblPr>
    <w:tcPr>
      <w:shd w:val="clear" w:color="auto" w:fill="dbe5f1" w:themeFill="accent1" w:themeFillTint="33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a7bfde" w:themeFill="accent1" w:themeFillTint="7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a7bfde" w:themeFill="accent1" w:themeFillTint="7F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365f91" w:themeFill="accent1" w:themeFillShade="BF"/>
        <w:tcBorders/>
      </w:tcPr>
    </w:tblStylePr>
    <w:tblStylePr w:type="firstRow">
      <w:rPr>
        <w:b/>
        <w:bCs/>
      </w:rPr>
      <w:pPr>
        <w:pBdr/>
        <w:spacing/>
        <w:ind/>
      </w:pPr>
      <w:tblPr>
        <w:tblBorders/>
      </w:tblPr>
      <w:tcPr>
        <w:shd w:val="clear" w:color="auto" w:fill="b8cce4" w:themeFill="accent1" w:themeFillTint="66"/>
        <w:tcBorders/>
      </w:tcPr>
    </w:tblStylePr>
    <w:tblStylePr w:type="lastCol">
      <w:rPr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365f91" w:themeFill="accent1" w:themeFillShade="BF"/>
        <w:tcBorders/>
      </w:tcPr>
    </w:tblStylePr>
    <w:tblStylePr w:type="lastRow">
      <w:rPr>
        <w:b/>
        <w:bCs/>
        <w:color w:val="000000" w:themeColor="text1"/>
      </w:rPr>
      <w:pPr>
        <w:pBdr/>
        <w:spacing/>
        <w:ind/>
      </w:pPr>
      <w:tblPr>
        <w:tblBorders/>
      </w:tblPr>
      <w:tcPr>
        <w:shd w:val="clear" w:color="auto" w:fill="b8cce4" w:themeFill="accent1" w:themeFillTint="6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7">
    <w:name w:val="Colorful Grid Accent 2"/>
    <w:basedOn w:val="703"/>
    <w:uiPriority w:val="73"/>
    <w:pPr>
      <w:pBdr/>
      <w:spacing w:after="0" w:line="240" w:lineRule="auto"/>
      <w:ind/>
    </w:pPr>
    <w:rPr>
      <w:color w:val="000000" w:themeColor="text1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insideH w:val="single" w:color="ffffff" w:themeColor="background1" w:sz="4" w:space="0"/>
      </w:tblBorders>
    </w:tblPr>
    <w:tcPr>
      <w:shd w:val="clear" w:color="auto" w:fill="f2dbdb" w:themeFill="accent2" w:themeFillTint="33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dfa7a6" w:themeFill="accent2" w:themeFillTint="7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dfa7a6" w:themeFill="accent2" w:themeFillTint="7F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943634" w:themeFill="accent2" w:themeFillShade="BF"/>
        <w:tcBorders/>
      </w:tcPr>
    </w:tblStylePr>
    <w:tblStylePr w:type="firstRow">
      <w:rPr>
        <w:b/>
        <w:bCs/>
      </w:rPr>
      <w:pPr>
        <w:pBdr/>
        <w:spacing/>
        <w:ind/>
      </w:pPr>
      <w:tblPr>
        <w:tblBorders/>
      </w:tblPr>
      <w:tcPr>
        <w:shd w:val="clear" w:color="auto" w:fill="e5b8b7" w:themeFill="accent2" w:themeFillTint="66"/>
        <w:tcBorders/>
      </w:tcPr>
    </w:tblStylePr>
    <w:tblStylePr w:type="lastCol">
      <w:rPr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943634" w:themeFill="accent2" w:themeFillShade="BF"/>
        <w:tcBorders/>
      </w:tcPr>
    </w:tblStylePr>
    <w:tblStylePr w:type="lastRow">
      <w:rPr>
        <w:b/>
        <w:bCs/>
        <w:color w:val="000000" w:themeColor="text1"/>
      </w:rPr>
      <w:pPr>
        <w:pBdr/>
        <w:spacing/>
        <w:ind/>
      </w:pPr>
      <w:tblPr>
        <w:tblBorders/>
      </w:tblPr>
      <w:tcPr>
        <w:shd w:val="clear" w:color="auto" w:fill="e5b8b7" w:themeFill="accent2" w:themeFillTint="6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8">
    <w:name w:val="Colorful Grid Accent 3"/>
    <w:basedOn w:val="703"/>
    <w:uiPriority w:val="73"/>
    <w:pPr>
      <w:pBdr/>
      <w:spacing w:after="0" w:line="240" w:lineRule="auto"/>
      <w:ind/>
    </w:pPr>
    <w:rPr>
      <w:color w:val="000000" w:themeColor="text1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insideH w:val="single" w:color="ffffff" w:themeColor="background1" w:sz="4" w:space="0"/>
      </w:tblBorders>
    </w:tblPr>
    <w:tcPr>
      <w:shd w:val="clear" w:color="auto" w:fill="eaf1dd" w:themeFill="accent3" w:themeFillTint="33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cdddac" w:themeFill="accent3" w:themeFillTint="7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cdddac" w:themeFill="accent3" w:themeFillTint="7F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76923c" w:themeFill="accent3" w:themeFillShade="BF"/>
        <w:tcBorders/>
      </w:tcPr>
    </w:tblStylePr>
    <w:tblStylePr w:type="firstRow">
      <w:rPr>
        <w:b/>
        <w:bCs/>
      </w:rPr>
      <w:pPr>
        <w:pBdr/>
        <w:spacing/>
        <w:ind/>
      </w:pPr>
      <w:tblPr>
        <w:tblBorders/>
      </w:tblPr>
      <w:tcPr>
        <w:shd w:val="clear" w:color="auto" w:fill="d6e3bc" w:themeFill="accent3" w:themeFillTint="66"/>
        <w:tcBorders/>
      </w:tcPr>
    </w:tblStylePr>
    <w:tblStylePr w:type="lastCol">
      <w:rPr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76923c" w:themeFill="accent3" w:themeFillShade="BF"/>
        <w:tcBorders/>
      </w:tcPr>
    </w:tblStylePr>
    <w:tblStylePr w:type="lastRow">
      <w:rPr>
        <w:b/>
        <w:bCs/>
        <w:color w:val="000000" w:themeColor="text1"/>
      </w:rPr>
      <w:pPr>
        <w:pBdr/>
        <w:spacing/>
        <w:ind/>
      </w:pPr>
      <w:tblPr>
        <w:tblBorders/>
      </w:tblPr>
      <w:tcPr>
        <w:shd w:val="clear" w:color="auto" w:fill="d6e3bc" w:themeFill="accent3" w:themeFillTint="6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9">
    <w:name w:val="Colorful Grid Accent 4"/>
    <w:basedOn w:val="703"/>
    <w:uiPriority w:val="73"/>
    <w:pPr>
      <w:pBdr/>
      <w:spacing w:after="0" w:line="240" w:lineRule="auto"/>
      <w:ind/>
    </w:pPr>
    <w:rPr>
      <w:color w:val="000000" w:themeColor="text1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insideH w:val="single" w:color="ffffff" w:themeColor="background1" w:sz="4" w:space="0"/>
      </w:tblBorders>
    </w:tblPr>
    <w:tcPr>
      <w:shd w:val="clear" w:color="auto" w:fill="e5dfec" w:themeFill="accent4" w:themeFillTint="33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bfb1d0" w:themeFill="accent4" w:themeFillTint="7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bfb1d0" w:themeFill="accent4" w:themeFillTint="7F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5f497a" w:themeFill="accent4" w:themeFillShade="BF"/>
        <w:tcBorders/>
      </w:tcPr>
    </w:tblStylePr>
    <w:tblStylePr w:type="firstRow">
      <w:rPr>
        <w:b/>
        <w:bCs/>
      </w:rPr>
      <w:pPr>
        <w:pBdr/>
        <w:spacing/>
        <w:ind/>
      </w:pPr>
      <w:tblPr>
        <w:tblBorders/>
      </w:tblPr>
      <w:tcPr>
        <w:shd w:val="clear" w:color="auto" w:fill="ccc0d9" w:themeFill="accent4" w:themeFillTint="66"/>
        <w:tcBorders/>
      </w:tcPr>
    </w:tblStylePr>
    <w:tblStylePr w:type="lastCol">
      <w:rPr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5f497a" w:themeFill="accent4" w:themeFillShade="BF"/>
        <w:tcBorders/>
      </w:tcPr>
    </w:tblStylePr>
    <w:tblStylePr w:type="lastRow">
      <w:rPr>
        <w:b/>
        <w:bCs/>
        <w:color w:val="000000" w:themeColor="text1"/>
      </w:rPr>
      <w:pPr>
        <w:pBdr/>
        <w:spacing/>
        <w:ind/>
      </w:pPr>
      <w:tblPr>
        <w:tblBorders/>
      </w:tblPr>
      <w:tcPr>
        <w:shd w:val="clear" w:color="auto" w:fill="ccc0d9" w:themeFill="accent4" w:themeFillTint="6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0">
    <w:name w:val="Colorful Grid Accent 5"/>
    <w:basedOn w:val="703"/>
    <w:uiPriority w:val="73"/>
    <w:pPr>
      <w:pBdr/>
      <w:spacing w:after="0" w:line="240" w:lineRule="auto"/>
      <w:ind/>
    </w:pPr>
    <w:rPr>
      <w:color w:val="000000" w:themeColor="text1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insideH w:val="single" w:color="ffffff" w:themeColor="background1" w:sz="4" w:space="0"/>
      </w:tblBorders>
    </w:tblPr>
    <w:tcPr>
      <w:shd w:val="clear" w:color="auto" w:fill="daeef3" w:themeFill="accent5" w:themeFillTint="33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a5d5e2" w:themeFill="accent5" w:themeFillTint="7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a5d5e2" w:themeFill="accent5" w:themeFillTint="7F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31849b" w:themeFill="accent5" w:themeFillShade="BF"/>
        <w:tcBorders/>
      </w:tcPr>
    </w:tblStylePr>
    <w:tblStylePr w:type="firstRow">
      <w:rPr>
        <w:b/>
        <w:bCs/>
      </w:rPr>
      <w:pPr>
        <w:pBdr/>
        <w:spacing/>
        <w:ind/>
      </w:pPr>
      <w:tblPr>
        <w:tblBorders/>
      </w:tblPr>
      <w:tcPr>
        <w:shd w:val="clear" w:color="auto" w:fill="b6dde8" w:themeFill="accent5" w:themeFillTint="66"/>
        <w:tcBorders/>
      </w:tcPr>
    </w:tblStylePr>
    <w:tblStylePr w:type="lastCol">
      <w:rPr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31849b" w:themeFill="accent5" w:themeFillShade="BF"/>
        <w:tcBorders/>
      </w:tcPr>
    </w:tblStylePr>
    <w:tblStylePr w:type="lastRow">
      <w:rPr>
        <w:b/>
        <w:bCs/>
        <w:color w:val="000000" w:themeColor="text1"/>
      </w:rPr>
      <w:pPr>
        <w:pBdr/>
        <w:spacing/>
        <w:ind/>
      </w:pPr>
      <w:tblPr>
        <w:tblBorders/>
      </w:tblPr>
      <w:tcPr>
        <w:shd w:val="clear" w:color="auto" w:fill="b6dde8" w:themeFill="accent5" w:themeFillTint="6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1">
    <w:name w:val="Colorful Grid Accent 6"/>
    <w:basedOn w:val="703"/>
    <w:uiPriority w:val="73"/>
    <w:pPr>
      <w:pBdr/>
      <w:spacing w:after="0" w:line="240" w:lineRule="auto"/>
      <w:ind/>
    </w:pPr>
    <w:rPr>
      <w:color w:val="000000" w:themeColor="text1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insideH w:val="single" w:color="ffffff" w:themeColor="background1" w:sz="4" w:space="0"/>
      </w:tblBorders>
    </w:tblPr>
    <w:tcPr>
      <w:shd w:val="clear" w:color="auto" w:fill="fde9d9" w:themeFill="accent6" w:themeFillTint="33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fbcaa2" w:themeFill="accent6" w:themeFillTint="7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fbcaa2" w:themeFill="accent6" w:themeFillTint="7F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e36c0a" w:themeFill="accent6" w:themeFillShade="BF"/>
        <w:tcBorders/>
      </w:tcPr>
    </w:tblStylePr>
    <w:tblStylePr w:type="firstRow">
      <w:rPr>
        <w:b/>
        <w:bCs/>
      </w:rPr>
      <w:pPr>
        <w:pBdr/>
        <w:spacing/>
        <w:ind/>
      </w:pPr>
      <w:tblPr>
        <w:tblBorders/>
      </w:tblPr>
      <w:tcPr>
        <w:shd w:val="clear" w:color="auto" w:fill="fbd4b4" w:themeFill="accent6" w:themeFillTint="66"/>
        <w:tcBorders/>
      </w:tcPr>
    </w:tblStylePr>
    <w:tblStylePr w:type="lastCol">
      <w:rPr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e36c0a" w:themeFill="accent6" w:themeFillShade="BF"/>
        <w:tcBorders/>
      </w:tcPr>
    </w:tblStylePr>
    <w:tblStylePr w:type="lastRow">
      <w:rPr>
        <w:b/>
        <w:bCs/>
        <w:color w:val="000000" w:themeColor="text1"/>
      </w:rPr>
      <w:pPr>
        <w:pBdr/>
        <w:spacing/>
        <w:ind/>
      </w:pPr>
      <w:tblPr>
        <w:tblBorders/>
      </w:tblPr>
      <w:tcPr>
        <w:shd w:val="clear" w:color="auto" w:fill="fbd4b4" w:themeFill="accent6" w:themeFillTint="6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customXml" Target="../customXml/item1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Arial"/>
        <a:cs typeface="Arial"/>
      </a:majorFont>
      <a:minorFont>
        <a:latin typeface="Cambria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>
    <a:spDef>
      <a:spPr bwMode="auto"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 bwMode="auto"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ONLYOFFICE/9.2.1.43</Application>
  <DocSecurity>0</DocSecurity>
  <ScaleCrop>0</ScaleCrop>
  <HeadingPairs>
    <vt:vector size="0" baseType="variant"/>
  </HeadingPairs>
  <TitlesOfParts>
    <vt:vector size="0" baseType="lpstr"/>
  </TitlesOfParts>
  <Manager/>
  <Company/>
  <LinksUpToDate>0</LinksUpToDate>
  <SharedDoc>0</SharedDoc>
  <HyperlinkBase/>
  <HyperlinksChanged>0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revision>2</cp:revision>
  <dcterms:created xsi:type="dcterms:W3CDTF">2013-12-23T23:15:00Z</dcterms:created>
  <dcterms:modified xsi:type="dcterms:W3CDTF">2026-10-26T04:25:36Z</dcterms:modified>
  <cp:category/>
</cp:coreProperties>
</file>