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>
        <w:trPr>
          <w:trHeight w:val="198"/>
        </w:trPr>
        <w:tc>
          <w:tcPr>
            <w:shd w:val="clear" w:color="auto" w:fill="ffffff"/>
            <w:tcBorders/>
            <w:tcW w:w="328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0039a6"/>
            <w:tcBorders/>
            <w:tcW w:w="328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d52b1e"/>
            <w:tcBorders/>
            <w:tcW w:w="328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after="40" w:before="0"/>
        <w:ind/>
        <w:rPr/>
      </w:pPr>
      <w:r>
        <w:rPr>
          <w:rFonts w:ascii="Times New Roman" w:hAnsi="Times New Roman" w:cs="Times New Roman"/>
          <w:b w:val="0"/>
          <w:i w:val="0"/>
          <w:sz w:val="8"/>
        </w:rPr>
      </w:r>
      <w:r/>
    </w:p>
    <w:p>
      <w:pPr>
        <w:pBdr/>
        <w:spacing w:after="40" w:before="0"/>
        <w:ind/>
        <w:jc w:val="center"/>
        <w:rPr/>
      </w:pPr>
      <w:r>
        <w:rPr>
          <w:rFonts w:ascii="Times New Roman" w:hAnsi="Times New Roman" w:cs="Times New Roman"/>
          <w:b/>
          <w:i w:val="0"/>
          <w:color w:val="1f3a63"/>
          <w:sz w:val="40"/>
        </w:rPr>
        <w:t xml:space="preserve">ПАМЯТКА</w:t>
      </w:r>
      <w:r/>
    </w:p>
    <w:p>
      <w:pPr>
        <w:pBdr/>
        <w:spacing w:after="40" w:before="0"/>
        <w:ind/>
        <w:jc w:val="center"/>
        <w:rPr/>
      </w:pPr>
      <w:r>
        <w:rPr>
          <w:rFonts w:ascii="Times New Roman" w:hAnsi="Times New Roman" w:cs="Times New Roman"/>
          <w:b/>
          <w:i w:val="0"/>
          <w:color w:val="1f3a63"/>
          <w:sz w:val="26"/>
        </w:rPr>
        <w:t xml:space="preserve">Страховая выплата и единовременное пособие по обязательному государственному страхованию (АО «СОГАЗ»)</w:t>
      </w:r>
      <w:r/>
    </w:p>
    <w:p>
      <w:pPr>
        <w:pBdr/>
        <w:spacing w:after="160" w:before="0"/>
        <w:ind/>
        <w:jc w:val="center"/>
        <w:rPr/>
      </w:pPr>
      <w:r>
        <w:rPr>
          <w:rFonts w:ascii="Times New Roman" w:hAnsi="Times New Roman" w:cs="Times New Roman"/>
          <w:b w:val="0"/>
          <w:i/>
          <w:sz w:val="22"/>
        </w:rPr>
        <w:t xml:space="preserve">Перечень документов при травме, увечье, контузии, инвалидности, увольнении и гибели военнослужащего</w:t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cs="Times New Roman"/>
          <w:b/>
          <w:i w:val="0"/>
          <w:color w:val="1f3a63"/>
          <w:sz w:val="28"/>
        </w:rPr>
        <w:t xml:space="preserve">1. Размеры выплат</w:t>
      </w:r>
      <w:r/>
    </w:p>
    <w:p>
      <w:pPr>
        <w:pBdr/>
        <w:spacing w:after="120" w:before="0"/>
        <w:ind/>
        <w:rPr/>
      </w:pPr>
      <w:r>
        <w:rPr>
          <w:rFonts w:ascii="Times New Roman" w:hAnsi="Times New Roman" w:cs="Times New Roman"/>
          <w:b w:val="0"/>
          <w:i w:val="0"/>
          <w:sz w:val="22"/>
        </w:rPr>
        <w:t xml:space="preserve">Страховая выплата составляет — 3 439 562 руб. 92 коп.</w:t>
      </w:r>
      <w:r/>
    </w:p>
    <w:p>
      <w:pPr>
        <w:pBdr/>
        <w:spacing w:after="120" w:before="0"/>
        <w:ind/>
        <w:rPr/>
      </w:pPr>
      <w:r>
        <w:rPr>
          <w:rFonts w:ascii="Times New Roman" w:hAnsi="Times New Roman" w:cs="Times New Roman"/>
          <w:b w:val="0"/>
          <w:i w:val="0"/>
          <w:sz w:val="22"/>
        </w:rPr>
        <w:t xml:space="preserve">Единовременное пособие составляет — 5 159 344 руб. 37 коп.</w:t>
      </w:r>
      <w:r/>
    </w:p>
    <w:tbl>
      <w:tblPr>
        <w:tblStyle w:val="753"/>
        <w:tblW w:w="0" w:type="auto"/>
        <w:tblBorders/>
        <w:tblLook w:val="04A0" w:firstRow="1" w:lastRow="0" w:firstColumn="1" w:lastColumn="0" w:noHBand="0" w:noVBand="1"/>
      </w:tblPr>
      <w:tblGrid>
        <w:gridCol w:w="10256"/>
      </w:tblGrid>
      <w:tr>
        <w:trPr/>
        <w:tc>
          <w:tcPr>
            <w:shd w:val="clear" w:color="auto" w:fill="f2f2f2"/>
            <w:tcBorders/>
            <w:tcW w:w="10256" w:type="dxa"/>
            <w:textDirection w:val="lrTb"/>
            <w:noWrap w:val="false"/>
          </w:tcPr>
          <w:p>
            <w:pPr>
              <w:pBdr/>
              <w:spacing w:after="40"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sz w:val="20"/>
              </w:rPr>
              <w:t xml:space="preserve">Важно!</w:t>
            </w:r>
            <w:r/>
          </w:p>
          <w:p>
            <w:pPr>
              <w:pBdr/>
              <w:spacing w:after="40"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Страховая выплата и единовременное пособие выплачиваются в равных долях между всеми членами семьи.</w:t>
            </w:r>
            <w:r/>
          </w:p>
        </w:tc>
      </w:tr>
    </w:tbl>
    <w:p>
      <w:pPr>
        <w:pBdr/>
        <w:spacing w:after="80" w:before="0"/>
        <w:ind/>
        <w:rPr/>
      </w:pPr>
      <w:r>
        <w:rPr>
          <w:rFonts w:ascii="Times New Roman" w:hAnsi="Times New Roman" w:cs="Times New Roman"/>
          <w:b w:val="0"/>
          <w:i w:val="0"/>
          <w:sz w:val="8"/>
        </w:rPr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cs="Times New Roman"/>
          <w:b/>
          <w:i w:val="0"/>
          <w:color w:val="1f3a63"/>
          <w:sz w:val="28"/>
        </w:rPr>
        <w:t xml:space="preserve">2. Документы для членов семьи погибшего (умершего) военнослужащего</w:t>
      </w:r>
      <w:r/>
    </w:p>
    <w:p>
      <w:pPr>
        <w:pBdr/>
        <w:spacing w:after="160" w:before="0"/>
        <w:ind/>
        <w:rPr/>
      </w:pPr>
      <w:r>
        <w:rPr>
          <w:rFonts w:ascii="Times New Roman" w:hAnsi="Times New Roman" w:cs="Times New Roman"/>
          <w:b w:val="0"/>
          <w:i w:val="0"/>
          <w:sz w:val="22"/>
        </w:rPr>
        <w:t xml:space="preserve">Заявления на страховую выплату и едино</w:t>
      </w:r>
      <w:r>
        <w:rPr>
          <w:rFonts w:ascii="Times New Roman" w:hAnsi="Times New Roman" w:cs="Times New Roman"/>
          <w:b w:val="0"/>
          <w:i w:val="0"/>
          <w:sz w:val="22"/>
        </w:rPr>
        <w:t xml:space="preserve">временное пособие оформляются согласно Федеральному закону от 28.03.1998 № 52-ФЗ «Об обязательном государственном страховании жизни и здоровья военнослужащих…» и Федеральному закону от 07.11.2011 № 306-ФЗ «О денежных выплатах членам семей военнослужащих…».</w:t>
      </w:r>
      <w:r/>
    </w:p>
    <w:tbl>
      <w:tblPr>
        <w:tblStyle w:val="753"/>
        <w:tblW w:w="0" w:type="auto"/>
        <w:tblBorders/>
        <w:tblLook w:val="04A0" w:firstRow="1" w:lastRow="0" w:firstColumn="1" w:lastColumn="0" w:noHBand="0" w:noVBand="1"/>
      </w:tblPr>
      <w:tblGrid>
        <w:gridCol w:w="5128"/>
        <w:gridCol w:w="5128"/>
      </w:tblGrid>
      <w:tr>
        <w:trPr/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Кто получает</w:t>
            </w:r>
            <w:r/>
          </w:p>
        </w:tc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Перечень документов</w:t>
            </w:r>
            <w:r/>
          </w:p>
        </w:tc>
      </w:tr>
      <w:tr>
        <w:trPr/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Супруга</w:t>
            </w:r>
            <w:r/>
          </w:p>
        </w:tc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1. Копия свидетельства о заключении брака.</w:t>
              <w:br/>
              <w:t xml:space="preserve">2. Копия паспорта (лицевая сторона, прописка).</w:t>
              <w:br/>
              <w:t xml:space="preserve">3. Копия реквизитов счёта.</w:t>
              <w:br/>
              <w:t xml:space="preserve">4. Заявления на страховую выплату и единовременное пособие, оформленные согласно 52-ФЗ и 306-ФЗ.</w:t>
            </w:r>
            <w:r/>
          </w:p>
        </w:tc>
      </w:tr>
      <w:tr>
        <w:trPr/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Родители</w:t>
            </w:r>
            <w:r/>
          </w:p>
        </w:tc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1. Копия свидетельства о рождении военнослужащего.</w:t>
              <w:br/>
              <w:t xml:space="preserve">2. Копия паспорта (лицевая сторона, прописка) родителей.</w:t>
              <w:br/>
              <w:t xml:space="preserve">3. Копия реквизитов счёта.</w:t>
              <w:br/>
              <w:t xml:space="preserve">4. Заявления на страховую выплату и единовременное пособие, оформленные согласно 52-ФЗ и 306-ФЗ.</w:t>
            </w:r>
            <w:r/>
          </w:p>
        </w:tc>
      </w:tr>
      <w:tr>
        <w:trPr/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Несовершеннолетние дети</w:t>
            </w:r>
            <w:r/>
          </w:p>
        </w:tc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1. Копия свидетельства о рождении (с указанием отца!).</w:t>
              <w:br/>
              <w:t xml:space="preserve">2. Копия паспорта (лицевая сторона, прописка) законного представителя.</w:t>
              <w:br/>
              <w:t xml:space="preserve">3. Копия номинального счёта.</w:t>
              <w:br/>
              <w:t xml:space="preserve">4. Заявления на страховую выплату и единовременное пособие, оформленные согласно 52-ФЗ и 306-ФЗ.</w:t>
            </w:r>
            <w:r/>
          </w:p>
        </w:tc>
      </w:tr>
      <w:tr>
        <w:trPr/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Совершеннолетние дети 18–23 лет</w:t>
            </w:r>
            <w:r/>
          </w:p>
        </w:tc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1. Копия свидетельства о рождении (с указанием отца!).</w:t>
              <w:br/>
              <w:t xml:space="preserve">2. Копия паспорта (лицевая сторона, прописка).</w:t>
              <w:br/>
              <w:t xml:space="preserve">3. Копия реквизит</w:t>
            </w: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ов счёта.</w:t>
              <w:br/>
              <w:t xml:space="preserve">4. Справка об обучении (оригинал).</w:t>
              <w:br/>
              <w:t xml:space="preserve">5. Заявления на страховую выплату и единовременное пособие, оформленные согласно 52-ФЗ и 306-ФЗ.</w:t>
              <w:br/>
              <w:t xml:space="preserve">Застрахованному лицу необходимо обучаться на очной форме обучения; поступление — на момент гибели военнослужащего.</w:t>
            </w:r>
            <w:r/>
          </w:p>
        </w:tc>
      </w:tr>
    </w:tbl>
    <w:p>
      <w:pPr>
        <w:pBdr/>
        <w:spacing w:after="80" w:before="0"/>
        <w:ind/>
        <w:rPr/>
      </w:pPr>
      <w:r>
        <w:rPr>
          <w:rFonts w:ascii="Times New Roman" w:hAnsi="Times New Roman" w:cs="Times New Roman"/>
          <w:b w:val="0"/>
          <w:i w:val="0"/>
          <w:sz w:val="8"/>
        </w:rPr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cs="Times New Roman"/>
          <w:b/>
          <w:i w:val="0"/>
          <w:color w:val="1f3a63"/>
          <w:sz w:val="28"/>
        </w:rPr>
        <w:t xml:space="preserve">3. Справочно</w:t>
      </w:r>
      <w:r/>
    </w:p>
    <w:tbl>
      <w:tblPr>
        <w:tblStyle w:val="753"/>
        <w:tblW w:w="0" w:type="auto"/>
        <w:tblBorders/>
        <w:tblLook w:val="04A0" w:firstRow="1" w:lastRow="0" w:firstColumn="1" w:lastColumn="0" w:noHBand="0" w:noVBand="1"/>
      </w:tblPr>
      <w:tblGrid>
        <w:gridCol w:w="10256"/>
      </w:tblGrid>
      <w:tr>
        <w:trPr/>
        <w:tc>
          <w:tcPr>
            <w:shd w:val="clear" w:color="auto" w:fill="f2f2f2"/>
            <w:tcBorders/>
            <w:tcW w:w="10256" w:type="dxa"/>
            <w:textDirection w:val="lrTb"/>
            <w:noWrap w:val="false"/>
          </w:tcPr>
          <w:p>
            <w:pPr>
              <w:pBdr/>
              <w:spacing w:after="40"/>
              <w:ind/>
              <w:rPr/>
            </w:pPr>
            <w:r>
              <w:rPr>
                <w:rFonts w:ascii="Times New Roman" w:hAnsi="Times New Roman" w:cs="Times New Roman"/>
                <w:b w:val="0"/>
                <w:i/>
                <w:sz w:val="20"/>
              </w:rPr>
              <w:t xml:space="preserve">Опекунам необходим тот же перечень, что и родителям; дополнительно нужно решение суда о назначении опекунства с отметкой о вступлении в законную силу.</w:t>
            </w:r>
            <w:r/>
          </w:p>
          <w:p>
            <w:pPr>
              <w:pBdr/>
              <w:spacing w:after="40"/>
              <w:ind/>
              <w:rPr/>
            </w:pPr>
            <w:r>
              <w:rPr>
                <w:rFonts w:ascii="Times New Roman" w:hAnsi="Times New Roman" w:cs="Times New Roman"/>
                <w:b w:val="0"/>
                <w:i/>
                <w:sz w:val="20"/>
              </w:rPr>
              <w:t xml:space="preserve">Все лишения прав на выплаты оформляются на основании решения суда, так же с отметкой о вступлении в законную силу.</w:t>
            </w:r>
            <w:r/>
          </w:p>
          <w:p>
            <w:pPr>
              <w:pBdr/>
              <w:spacing w:after="40"/>
              <w:ind/>
              <w:rPr/>
            </w:pPr>
            <w:r>
              <w:rPr>
                <w:rFonts w:ascii="Times New Roman" w:hAnsi="Times New Roman" w:cs="Times New Roman"/>
                <w:b w:val="0"/>
                <w:i/>
                <w:sz w:val="20"/>
              </w:rPr>
              <w:t xml:space="preserve">Все отказы от выплат сопровождаются нотариально заверенным заявлением, составленным у нотариуса; предоставляется ОРИГИНАЛ.</w:t>
            </w:r>
            <w:r/>
          </w:p>
        </w:tc>
      </w:tr>
    </w:tbl>
    <w:p>
      <w:pPr>
        <w:pBdr/>
        <w:spacing w:after="80" w:before="0"/>
        <w:ind/>
        <w:rPr/>
      </w:pPr>
      <w:r>
        <w:rPr>
          <w:rFonts w:ascii="Times New Roman" w:hAnsi="Times New Roman" w:cs="Times New Roman"/>
          <w:b w:val="0"/>
          <w:i w:val="0"/>
          <w:sz w:val="8"/>
        </w:rPr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cs="Times New Roman"/>
          <w:b/>
          <w:i w:val="0"/>
          <w:color w:val="1f3a63"/>
          <w:sz w:val="28"/>
        </w:rPr>
        <w:t xml:space="preserve">4. Выплаты через АО «СОГАЗ» — документы по видам событий</w:t>
      </w:r>
      <w:r/>
    </w:p>
    <w:p>
      <w:pPr>
        <w:pBdr/>
        <w:spacing w:after="160" w:before="0"/>
        <w:ind/>
        <w:rPr/>
      </w:pPr>
      <w:r>
        <w:rPr>
          <w:rFonts w:ascii="Times New Roman" w:hAnsi="Times New Roman" w:cs="Times New Roman"/>
          <w:b w:val="0"/>
          <w:i w:val="0"/>
          <w:sz w:val="22"/>
        </w:rPr>
        <w:t xml:space="preserve">Для всех категорий также понадобится файл формата А4 для документов.</w:t>
      </w:r>
      <w:r/>
    </w:p>
    <w:tbl>
      <w:tblPr>
        <w:tblStyle w:val="753"/>
        <w:tblW w:w="0" w:type="auto"/>
        <w:tblBorders/>
        <w:tblLook w:val="04A0" w:firstRow="1" w:lastRow="0" w:firstColumn="1" w:lastColumn="0" w:noHBand="0" w:noVBand="1"/>
      </w:tblPr>
      <w:tblGrid>
        <w:gridCol w:w="5128"/>
        <w:gridCol w:w="5128"/>
      </w:tblGrid>
      <w:tr>
        <w:trPr/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Событие</w:t>
            </w:r>
            <w:r/>
          </w:p>
        </w:tc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Перечень документов</w:t>
            </w:r>
            <w:r/>
          </w:p>
        </w:tc>
      </w:tr>
      <w:tr>
        <w:trPr/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Травма, увечье, контузия</w:t>
            </w:r>
            <w:r/>
          </w:p>
        </w:tc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1. Файл формата А4 для документов.</w:t>
              <w:br/>
              <w:t xml:space="preserve">2. Справка о тяжести увечья (ОРИГИНАЛ).</w:t>
              <w:br/>
              <w:t xml:space="preserve">3. Копия паспорта (лицевая сторона и прописка).</w:t>
              <w:br/>
              <w:t xml:space="preserve">4. Копия военного билета (1-й и 2-й развороты).</w:t>
              <w:br/>
              <w:t xml:space="preserve">5. Реквизиты банка.</w:t>
            </w:r>
            <w:r/>
          </w:p>
        </w:tc>
      </w:tr>
      <w:tr>
        <w:trPr/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Инвалидность</w:t>
            </w:r>
            <w:r/>
          </w:p>
        </w:tc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1. Файл формата А4.</w:t>
              <w:br/>
              <w:t xml:space="preserve">2. Копия паспорта (лицевая сторона и прописка).</w:t>
              <w:br/>
              <w:t xml:space="preserve">3. Копия военного билета (1-й и 2-й развороты).</w:t>
              <w:br/>
              <w:t xml:space="preserve">4. Реквизиты банка.</w:t>
              <w:br/>
              <w:t xml:space="preserve">5. Копия МСЭ (всё, что есть).</w:t>
              <w:br/>
              <w:t xml:space="preserve">6. Копия свидетельства о болезни.</w:t>
            </w:r>
            <w:r/>
          </w:p>
        </w:tc>
      </w:tr>
      <w:tr>
        <w:trPr/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Увольнение</w:t>
            </w:r>
            <w:r/>
          </w:p>
        </w:tc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1. Файл формата А4.</w:t>
              <w:br/>
              <w:t xml:space="preserve">2. Копия паспорта (лицевая сторона и прописка).</w:t>
              <w:br/>
              <w:t xml:space="preserve">3. Копия военного билета (1-й и 2-й развороты).</w:t>
              <w:br/>
              <w:t xml:space="preserve">4. Реквизиты банка.</w:t>
              <w:br/>
              <w:t xml:space="preserve">5. Копия свидетельства о болезни (п. 6 заполнен).</w:t>
            </w:r>
            <w:r/>
          </w:p>
        </w:tc>
      </w:tr>
      <w:tr>
        <w:trPr/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Увольнение с переводом на специальную должность</w:t>
            </w:r>
            <w:r/>
          </w:p>
        </w:tc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1. Файл формата А4.</w:t>
              <w:br/>
              <w:t xml:space="preserve">2. Копия</w:t>
            </w: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 паспорта (лицевая сторона и прописка).</w:t>
              <w:br/>
              <w:t xml:space="preserve">3. Копия военного билета (1-й и 2-й развороты).</w:t>
              <w:br/>
              <w:t xml:space="preserve">4. Реквизиты банка.</w:t>
              <w:br/>
              <w:t xml:space="preserve">5. Копия свидетельства о болезни (п. 6 заполнен).</w:t>
              <w:br/>
              <w:t xml:space="preserve">6. Копия удостоверения к государственной награде.</w:t>
              <w:br/>
              <w:t xml:space="preserve">7. Копия удостоверения ветерана боевых действий.</w:t>
            </w:r>
            <w:r/>
          </w:p>
        </w:tc>
      </w:tr>
    </w:tbl>
    <w:p>
      <w:pPr>
        <w:pBdr/>
        <w:spacing w:after="80" w:before="0"/>
        <w:ind/>
        <w:rPr/>
      </w:pPr>
      <w:r>
        <w:rPr>
          <w:rFonts w:ascii="Times New Roman" w:hAnsi="Times New Roman" w:cs="Times New Roman"/>
          <w:b w:val="0"/>
          <w:i w:val="0"/>
          <w:sz w:val="8"/>
        </w:rPr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cs="Times New Roman"/>
          <w:b/>
          <w:i w:val="0"/>
          <w:color w:val="1f3a63"/>
          <w:sz w:val="28"/>
        </w:rPr>
        <w:t xml:space="preserve">5. Размеры выплат по АО «СОГАЗ»</w:t>
      </w:r>
      <w:r/>
    </w:p>
    <w:tbl>
      <w:tblPr>
        <w:tblStyle w:val="753"/>
        <w:tblW w:w="0" w:type="auto"/>
        <w:tblBorders/>
        <w:tblLook w:val="04A0" w:firstRow="1" w:lastRow="0" w:firstColumn="1" w:lastColumn="0" w:noHBand="0" w:noVBand="1"/>
      </w:tblPr>
      <w:tblGrid>
        <w:gridCol w:w="5128"/>
        <w:gridCol w:w="5128"/>
      </w:tblGrid>
      <w:tr>
        <w:trPr/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Травма, увечье, контузия</w:t>
            </w:r>
            <w:r/>
          </w:p>
        </w:tc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Размер выплаты</w:t>
            </w:r>
            <w:r/>
          </w:p>
        </w:tc>
      </w:tr>
      <w:tr>
        <w:trPr/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Лёгкое увечье</w:t>
            </w:r>
            <w:r/>
          </w:p>
        </w:tc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92 081 руб. 55 коп.</w:t>
            </w:r>
            <w:r/>
          </w:p>
        </w:tc>
      </w:tr>
      <w:tr>
        <w:trPr/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Тяжёлое увечье</w:t>
            </w:r>
            <w:r/>
          </w:p>
        </w:tc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368 326 руб. 16 коп.</w:t>
            </w:r>
            <w:r/>
          </w:p>
        </w:tc>
      </w:tr>
    </w:tbl>
    <w:p>
      <w:pPr>
        <w:pBdr/>
        <w:spacing w:after="80" w:before="0"/>
        <w:ind/>
        <w:rPr/>
      </w:pPr>
      <w:r>
        <w:rPr>
          <w:rFonts w:ascii="Times New Roman" w:hAnsi="Times New Roman" w:cs="Times New Roman"/>
          <w:b w:val="0"/>
          <w:i w:val="0"/>
          <w:sz w:val="8"/>
        </w:rPr>
      </w:r>
      <w:r/>
    </w:p>
    <w:tbl>
      <w:tblPr>
        <w:tblStyle w:val="753"/>
        <w:tblW w:w="0" w:type="auto"/>
        <w:tblBorders/>
        <w:tblLook w:val="04A0" w:firstRow="1" w:lastRow="0" w:firstColumn="1" w:lastColumn="0" w:noHBand="0" w:noVBand="1"/>
      </w:tblPr>
      <w:tblGrid>
        <w:gridCol w:w="5128"/>
        <w:gridCol w:w="5128"/>
      </w:tblGrid>
      <w:tr>
        <w:trPr/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Инвалидность</w:t>
            </w:r>
            <w:r/>
          </w:p>
        </w:tc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Размер выплаты</w:t>
            </w:r>
            <w:r/>
          </w:p>
        </w:tc>
      </w:tr>
      <w:tr>
        <w:trPr/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I группа</w:t>
            </w:r>
            <w:r/>
          </w:p>
        </w:tc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2 762 446 руб. 29 коп.</w:t>
            </w:r>
            <w:r/>
          </w:p>
        </w:tc>
      </w:tr>
      <w:tr>
        <w:trPr/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II группа</w:t>
            </w:r>
            <w:r/>
          </w:p>
        </w:tc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1 841 630 руб. 87 коп.</w:t>
            </w:r>
            <w:r/>
          </w:p>
        </w:tc>
      </w:tr>
      <w:tr>
        <w:trPr/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III группа</w:t>
            </w:r>
            <w:r/>
          </w:p>
        </w:tc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920 815 руб. 44 коп.</w:t>
            </w:r>
            <w:r/>
          </w:p>
        </w:tc>
      </w:tr>
    </w:tbl>
    <w:p>
      <w:pPr>
        <w:pBdr/>
        <w:spacing w:after="80" w:before="0"/>
        <w:ind/>
        <w:rPr/>
      </w:pPr>
      <w:r>
        <w:rPr>
          <w:rFonts w:ascii="Times New Roman" w:hAnsi="Times New Roman" w:cs="Times New Roman"/>
          <w:b w:val="0"/>
          <w:i w:val="0"/>
          <w:sz w:val="8"/>
        </w:rPr>
      </w:r>
      <w:r/>
    </w:p>
    <w:tbl>
      <w:tblPr>
        <w:tblStyle w:val="753"/>
        <w:tblW w:w="0" w:type="auto"/>
        <w:tblBorders/>
        <w:tblLook w:val="04A0" w:firstRow="1" w:lastRow="0" w:firstColumn="1" w:lastColumn="0" w:noHBand="0" w:noVBand="1"/>
      </w:tblPr>
      <w:tblGrid>
        <w:gridCol w:w="5128"/>
        <w:gridCol w:w="5128"/>
      </w:tblGrid>
      <w:tr>
        <w:trPr/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Основание</w:t>
            </w:r>
            <w:r/>
          </w:p>
        </w:tc>
        <w:tc>
          <w:tcPr>
            <w:shd w:val="clear" w:color="auto" w:fill="1f3a63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/>
                <w:i w:val="0"/>
                <w:color w:val="ffffff"/>
                <w:sz w:val="20"/>
              </w:rPr>
              <w:t xml:space="preserve">Размер выплаты</w:t>
            </w:r>
            <w:r/>
          </w:p>
        </w:tc>
      </w:tr>
      <w:tr>
        <w:trPr/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Увольнение</w:t>
            </w:r>
            <w:r/>
          </w:p>
        </w:tc>
        <w:tc>
          <w:tcPr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3 683 261 руб. 71 коп.</w:t>
            </w:r>
            <w:r/>
          </w:p>
        </w:tc>
      </w:tr>
      <w:tr>
        <w:trPr/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Увольнение с переводом на специальную должность</w:t>
            </w:r>
            <w:r/>
          </w:p>
        </w:tc>
        <w:tc>
          <w:tcPr>
            <w:shd w:val="clear" w:color="auto" w:fill="eaf0f8"/>
            <w:tcBorders/>
            <w:tcW w:w="512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</w:rPr>
              <w:t xml:space="preserve">3 683 261 руб. 71 коп.</w:t>
            </w:r>
            <w:r/>
          </w:p>
        </w:tc>
      </w:tr>
    </w:tbl>
    <w:p>
      <w:pPr>
        <w:pBdr/>
        <w:spacing w:after="80" w:before="0"/>
        <w:ind/>
        <w:rPr/>
      </w:pPr>
      <w:r>
        <w:rPr>
          <w:rFonts w:ascii="Times New Roman" w:hAnsi="Times New Roman" w:cs="Times New Roman"/>
          <w:b w:val="0"/>
          <w:i w:val="0"/>
          <w:sz w:val="8"/>
        </w:rPr>
      </w:r>
      <w:r/>
    </w:p>
    <w:p>
      <w:pPr>
        <w:pBdr/>
        <w:spacing w:after="120" w:before="160"/>
        <w:ind/>
        <w:jc w:val="center"/>
        <w:rPr/>
      </w:pPr>
      <w:r>
        <w:rPr>
          <w:rFonts w:ascii="Times New Roman" w:hAnsi="Times New Roman" w:cs="Times New Roman"/>
          <w:b w:val="0"/>
          <w:i/>
          <w:sz w:val="18"/>
        </w:rPr>
        <w:t xml:space="preserve">Актуально на 2026 год. Памятка носит справочный характер и не заменяет положения законодательства Российской Федерации.</w:t>
      </w:r>
      <w:r/>
    </w:p>
    <w:sectPr>
      <w:footnotePr/>
      <w:endnotePr/>
      <w:type w:val="nextPage"/>
      <w:pgSz w:h="15840" w:orient="portrait" w:w="12240"/>
      <w:pgMar w:top="850" w:right="850" w:bottom="850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">
    <w:panose1 w:val="050401020108070707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2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</w:style>
  <w:style w:type="paragraph" w:styleId="689">
    <w:name w:val="Header"/>
    <w:basedOn w:val="688"/>
    <w:link w:val="69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690" w:customStyle="1">
    <w:name w:val="Header Char"/>
    <w:basedOn w:val="702"/>
    <w:link w:val="689"/>
    <w:uiPriority w:val="99"/>
    <w:pPr>
      <w:pBdr/>
      <w:spacing/>
      <w:ind/>
    </w:pPr>
  </w:style>
  <w:style w:type="paragraph" w:styleId="691">
    <w:name w:val="Footer"/>
    <w:basedOn w:val="688"/>
    <w:link w:val="69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692" w:customStyle="1">
    <w:name w:val="Footer Char"/>
    <w:basedOn w:val="702"/>
    <w:link w:val="691"/>
    <w:uiPriority w:val="99"/>
    <w:pPr>
      <w:pBdr/>
      <w:spacing/>
      <w:ind/>
    </w:pPr>
  </w:style>
  <w:style w:type="paragraph" w:styleId="693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4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5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6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7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8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9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00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701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02" w:default="1">
    <w:name w:val="Default Paragraph Font"/>
    <w:uiPriority w:val="1"/>
    <w:semiHidden/>
    <w:unhideWhenUsed/>
    <w:pPr>
      <w:pBdr/>
      <w:spacing/>
      <w:ind/>
    </w:pPr>
  </w:style>
  <w:style w:type="table" w:styleId="7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4" w:default="1">
    <w:name w:val="No List"/>
    <w:uiPriority w:val="99"/>
    <w:semiHidden/>
    <w:unhideWhenUsed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Heading 1 Char"/>
    <w:basedOn w:val="702"/>
    <w:link w:val="693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Heading 2 Char"/>
    <w:basedOn w:val="702"/>
    <w:link w:val="694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Heading 3 Char"/>
    <w:basedOn w:val="702"/>
    <w:link w:val="69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Title Char"/>
    <w:basedOn w:val="702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Subtitle Char"/>
    <w:basedOn w:val="702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Body Text Char"/>
    <w:basedOn w:val="702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Body Text 2 Char"/>
    <w:basedOn w:val="702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Body Text 3 Char"/>
    <w:basedOn w:val="702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Macro Text Char"/>
    <w:basedOn w:val="702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Quote Char"/>
    <w:basedOn w:val="702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Heading 4 Char"/>
    <w:basedOn w:val="702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Heading 5 Char"/>
    <w:basedOn w:val="702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Heading 6 Char"/>
    <w:basedOn w:val="702"/>
    <w:link w:val="698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Heading 7 Char"/>
    <w:basedOn w:val="702"/>
    <w:link w:val="69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Heading 8 Char"/>
    <w:basedOn w:val="702"/>
    <w:link w:val="70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Heading 9 Char"/>
    <w:basedOn w:val="702"/>
    <w:link w:val="70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702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702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Intense Quote Char"/>
    <w:basedOn w:val="702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702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702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702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702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702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93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703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703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703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703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703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703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703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2</cp:revision>
  <dcterms:created xsi:type="dcterms:W3CDTF">2013-12-23T23:15:00Z</dcterms:created>
  <dcterms:modified xsi:type="dcterms:W3CDTF">2026-10-24T03:06:09Z</dcterms:modified>
  <cp:category/>
</cp:coreProperties>
</file>