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jc w:val="center"/>
      </w:pPr>
      <w:r>
        <w:rPr>
          <w:b/>
          <w:i w:val="0"/>
          <w:sz w:val="40"/>
        </w:rPr>
        <w:t xml:space="preserve">ПАМЯТКА</w:t>
      </w:r>
    </w:p>
    <w:p>
      <w:pPr>
        <w:jc w:val="center"/>
      </w:pPr>
      <w:r>
        <w:rPr>
          <w:b/>
          <w:i w:val="0"/>
          <w:sz w:val="28"/>
        </w:rPr>
        <w:t xml:space="preserve">для уволенного военнослужащего:</w:t>
        <w:br/>
        <w:t xml:space="preserve">обращение в ВВК Минобороны России</w:t>
        <w:br/>
        <w:t xml:space="preserve">для определения тяжести увечья (травмы, ранения, контузии)</w:t>
      </w:r>
    </w:p>
    <w:p/>
    <w:p>
      <w:pPr>
        <w:pStyle w:val="Heading1"/>
      </w:pPr>
      <w:r>
        <w:t xml:space="preserve">1. Когда нужна эта памятка</w:t>
      </w:r>
    </w:p>
    <w:p>
      <w:r>
        <w:rPr>
          <w:b w:val="0"/>
          <w:i w:val="0"/>
        </w:rPr>
        <w:t xml:space="preserve">Обращаться в военно-врачебную комиссию (ВВК) нужно, если во время службы получено увечье, а справка о его тяжести не была оформлена до увольнения — либо оформлена, но экземпляр на руки не выдавался. Без справки о тяжести увечья невозможно получить страховую выплату в АО «СОГАЗ» (по Федеральному закону от 28.03.1998 № 52-ФЗ) и ряд других выплат и льгот.</w:t>
      </w:r>
    </w:p>
    <w:p>
      <w:r>
        <w:rPr>
          <w:b/>
          <w:i w:val="0"/>
        </w:rPr>
        <w:t xml:space="preserve">Два пути решения:</w:t>
      </w:r>
    </w:p>
    <w:p>
      <w:pPr>
        <w:pStyle w:val="ListBullet"/>
      </w:pPr>
      <w:r>
        <w:t xml:space="preserve">если освидетельствование ВВК проходилось в госпитале/клинике до увольнения — обращаться туда за выдачей (повторной выдачей) справки;</w:t>
      </w:r>
    </w:p>
    <w:p>
      <w:pPr>
        <w:pStyle w:val="ListBullet"/>
      </w:pPr>
      <w:r>
        <w:t xml:space="preserve">если ВВК не проводилась или учреждение отказывает — обращаться в филиал ФГКУ «Главный центр военно-врачебной экспертизы» (ГЦ ВВЭ) МО России.</w:t>
      </w:r>
    </w:p>
    <w:p>
      <w:pPr>
        <w:pStyle w:val="Heading1"/>
      </w:pPr>
      <w:r>
        <w:t xml:space="preserve">2. Куда направлять документы</w:t>
      </w:r>
    </w:p>
    <w:p>
      <w:r>
        <w:rPr>
          <w:b w:val="0"/>
          <w:i w:val="0"/>
        </w:rPr>
        <w:t xml:space="preserve">Документы направляются в военно-врачебную комиссию филиала ГЦ ВВЭ Минобороны России по месту службы или проживания (для субъекта федерации, где зарегистрирован заявитель).</w:t>
      </w:r>
    </w:p>
    <w:p>
      <w:r>
        <w:rPr>
          <w:b/>
          <w:i w:val="0"/>
        </w:rPr>
        <w:t xml:space="preserve">Конкретный филиал и порядок подачи уточняются:</w:t>
      </w:r>
    </w:p>
    <w:p>
      <w:pPr>
        <w:pStyle w:val="ListBullet"/>
      </w:pPr>
      <w:r>
        <w:t xml:space="preserve">по месту проживания — через военный комиссариат (военкомат подскажет, какой филиал «обслуживает» регион, и может переслать документы сам);</w:t>
      </w:r>
    </w:p>
    <w:p>
      <w:pPr>
        <w:pStyle w:val="ListBullet"/>
      </w:pPr>
      <w:r>
        <w:t xml:space="preserve">по телефону справочной филиала — адрес и контакты филиалов публикуются на сайте Минобороны (mil.ru) и в справочных базах.</w:t>
      </w:r>
    </w:p>
    <w:p>
      <w:r>
        <w:rPr>
          <w:b w:val="0"/>
          <w:i/>
        </w:rPr>
        <w:t xml:space="preserve">Пример: Сахалинская область относится к филиалу № 4 ГЦ ВВЭ (г. Хабаровск). Уточните актуальные адрес и телефоны перед отправкой документов.</w:t>
      </w:r>
    </w:p>
    <w:p>
      <w:pPr>
        <w:pStyle w:val="Heading1"/>
      </w:pPr>
      <w:r>
        <w:t xml:space="preserve">3. Что указать в обращении и что приложить</w:t>
      </w:r>
    </w:p>
    <w:p>
      <w:r>
        <w:rPr>
          <w:b w:val="0"/>
          <w:i w:val="0"/>
        </w:rPr>
        <w:t xml:space="preserve">В письменном обращении попросить провести освидетельствование по документам (заочно) и определить степень тяжести увечья, указав, что заявитель уволен с военной службы, а обстоятельства травмы подтверждены служебной проверкой.</w:t>
      </w:r>
    </w:p>
    <w:p>
      <w:r>
        <w:rPr>
          <w:b/>
          <w:i w:val="0"/>
        </w:rPr>
        <w:t xml:space="preserve">Рекомендуемый комплект (копии, кроме случаев требования оригиналов):</w:t>
      </w:r>
    </w:p>
    <w:p>
      <w:pPr>
        <w:pStyle w:val="ListBullet"/>
      </w:pPr>
      <w:r>
        <w:t xml:space="preserve">заключение служебной проверки (расследования) об обстоятельствах получения увечья;</w:t>
      </w:r>
    </w:p>
    <w:p>
      <w:pPr>
        <w:pStyle w:val="ListBullet"/>
      </w:pPr>
      <w:r>
        <w:t xml:space="preserve">медицинские документы: выписки из госпиталей и больниц, эпикризы, заключения врачей, результаты обследований, документы об операции (если проводилась);</w:t>
      </w:r>
    </w:p>
    <w:p>
      <w:pPr>
        <w:pStyle w:val="ListBullet"/>
      </w:pPr>
      <w:r>
        <w:t xml:space="preserve">справка о травме по форме № 98 (или иные документы о получении увечья — при наличии);</w:t>
      </w:r>
    </w:p>
    <w:p>
      <w:pPr>
        <w:pStyle w:val="ListBullet"/>
      </w:pPr>
      <w:r>
        <w:t xml:space="preserve">документы о прохождении службы и увольнении: военный билет, выписка из приказа об увольнении, контракт;</w:t>
      </w:r>
    </w:p>
    <w:p>
      <w:pPr>
        <w:pStyle w:val="ListBullet"/>
      </w:pPr>
      <w:r>
        <w:t xml:space="preserve">копия паспорта;</w:t>
      </w:r>
    </w:p>
    <w:p>
      <w:pPr>
        <w:pStyle w:val="ListBullet"/>
      </w:pPr>
      <w:r>
        <w:t xml:space="preserve">личный номер военнослужащего — указать в тексте обращения.</w:t>
      </w:r>
    </w:p>
    <w:p>
      <w:r>
        <w:rPr>
          <w:b w:val="0"/>
          <w:i/>
        </w:rPr>
        <w:t xml:space="preserve">Это рекомендуемый комплект, а не единый обязательный перечень. Состав и требования к заверению копий следует уточнить у филиала. Служебная проверка подтверждает обстоятельства травмы, но не заменяет медицинские документы — по ним комиссия оценивает диагноз и тяжесть повреждения.</w:t>
      </w:r>
    </w:p>
    <w:p>
      <w:pPr>
        <w:pStyle w:val="Heading1"/>
      </w:pPr>
      <w:r>
        <w:t xml:space="preserve">4. Порядок действий</w:t>
      </w:r>
    </w:p>
    <w:p>
      <w:pPr>
        <w:pStyle w:val="ListNumber"/>
      </w:pPr>
      <w:r>
        <w:t xml:space="preserve">Уточнить филиал ГЦ ВВЭ по месту службы или проживания (через военкомат или по телефону филиала).</w:t>
      </w:r>
    </w:p>
    <w:p>
      <w:pPr>
        <w:pStyle w:val="ListNumber"/>
      </w:pPr>
      <w:r>
        <w:t xml:space="preserve">Запросить у филиала адрес для направления документов, состав комплекта и требования к заверению копий.</w:t>
      </w:r>
    </w:p>
    <w:p>
      <w:pPr>
        <w:pStyle w:val="ListNumber"/>
      </w:pPr>
      <w:r>
        <w:t xml:space="preserve">Собрать документы, сделать копии; при необходимости — заверить нотариально.</w:t>
      </w:r>
    </w:p>
    <w:p>
      <w:pPr>
        <w:pStyle w:val="ListNumber"/>
      </w:pPr>
      <w:r>
        <w:t xml:space="preserve">Подать письменное обращение: лично в канцелярию (с отметкой о приёме на своём экземпляре) или почтой — заказным письмом с описью вложения и уведомлением.</w:t>
      </w:r>
    </w:p>
    <w:p>
      <w:pPr>
        <w:pStyle w:val="ListNumber"/>
      </w:pPr>
      <w:r>
        <w:t xml:space="preserve">Если документы уже находятся в военкомате — подать туда заявление с просьбой переслать их в филиал ГЦ ВВЭ.</w:t>
      </w:r>
    </w:p>
    <w:p>
      <w:pPr>
        <w:pStyle w:val="ListNumber"/>
      </w:pPr>
      <w:r>
        <w:t xml:space="preserve">Сохранить копию обращения и подтверждение отправки (чек, опись) — они подтверждают, какие документы и когда были направлены.</w:t>
      </w:r>
    </w:p>
    <w:p>
      <w:pPr>
        <w:pStyle w:val="ListNumber"/>
      </w:pPr>
      <w:r>
        <w:t xml:space="preserve">Ожидать ответа; при вызове на очное освидетельствование — явиться по вызову.</w:t>
      </w:r>
    </w:p>
    <w:p>
      <w:pPr>
        <w:pStyle w:val="Heading1"/>
      </w:pPr>
      <w:r>
        <w:t xml:space="preserve">5. Важно: тяжесть и причинная связь — разные вопросы</w:t>
      </w:r>
    </w:p>
    <w:p>
      <w:r>
        <w:rPr>
          <w:b w:val="0"/>
          <w:i w:val="0"/>
        </w:rPr>
        <w:t xml:space="preserve">Степень тяжести увечья и причинная связь увечья с исполнением обязанностей военной службы (военной травмой) — разные вопросы. Если причинная связь ещё не установлена заключением ВВК, это следует отдельно указать в обращении и попросить установить её. Заключение служебной проверки медицинскую оценку не заменяет.</w:t>
      </w:r>
    </w:p>
    <w:p>
      <w:r>
        <w:rPr>
          <w:b w:val="0"/>
          <w:i w:val="0"/>
        </w:rPr>
        <w:t xml:space="preserve">Стандартные степени тяжести, определяемые комиссией: тяжёлое увечье, лёгкое увечье (ранений, травм, контузий). От категории тяжести зависит размер страховой выплаты.</w:t>
      </w:r>
    </w:p>
    <w:p>
      <w:pPr>
        <w:pStyle w:val="Heading1"/>
      </w:pPr>
      <w:r>
        <w:t xml:space="preserve">6. Правовое основание</w:t>
      </w:r>
    </w:p>
    <w:p>
      <w:pPr>
        <w:pStyle w:val="ListBullet"/>
      </w:pPr>
      <w:r>
        <w:t xml:space="preserve">Постановление Правительства РФ от 04.07.2013 № 565 «Об утверждении Положения о военно-врачебной экспертизе» — регулирует проведение экспертизы, в том числе освидетельствование граждан, прошедших военную службу.</w:t>
      </w:r>
    </w:p>
    <w:p>
      <w:pPr>
        <w:pStyle w:val="ListBullet"/>
      </w:pPr>
      <w:r>
        <w:t xml:space="preserve">Приказ Минобороны России от 22.04.2022 № 236 — порядок оформления и выдачи справки о тяжести увечья военнослужащим; применимость к конкретному случаю уволенного следует уточнить в филиале ГЦ ВВЭ.</w:t>
      </w:r>
    </w:p>
    <w:p>
      <w:pPr>
        <w:pStyle w:val="ListBullet"/>
      </w:pPr>
      <w:r>
        <w:t xml:space="preserve">Федеральный закон от 28.03.1998 № 52-ФЗ — обязательное государственное страхование жизни и здоровья военнослужащих (основание страховой выплаты в СОГАЗ).</w:t>
      </w:r>
    </w:p>
    <w:p>
      <w:pPr>
        <w:pStyle w:val="ListBullet"/>
      </w:pPr>
      <w:r>
        <w:t xml:space="preserve">Судебная практика подтверждает право уволенного обращаться в филиал ГЦ ВВЭ за определением тяжести увечья (в т.ч. Новочеркасский гарнизонный военный суд, дело от 15.06.2023; апелляционное определение Южного окружного военного суда от 23.01.2026).</w:t>
      </w:r>
    </w:p>
    <w:p>
      <w:r>
        <w:rPr>
          <w:b w:val="0"/>
          <w:i/>
        </w:rPr>
        <w:t xml:space="preserve">Внимание: направление обращения само по себе не гарантирует вынесения заключения по имеющемуся комплекту документов — комиссия может запросить дополнительные материалы или вызвать на очное освидетельствование.</w:t>
      </w:r>
    </w:p>
    <w:p>
      <w:pPr>
        <w:pStyle w:val="Heading1"/>
      </w:pPr>
      <w:r>
        <w:t xml:space="preserve">7. Сроки и что делать после получения справки</w:t>
      </w:r>
    </w:p>
    <w:p>
      <w:pPr>
        <w:pStyle w:val="ListBullet"/>
      </w:pPr>
      <w:r>
        <w:t xml:space="preserve">Обращение за страховой выплатой в АО «СОГАЗ» — в течение одного года со дня увольнения (смерти, получения увечья). Срок важно не пропустить.</w:t>
      </w:r>
    </w:p>
    <w:p>
      <w:pPr>
        <w:pStyle w:val="ListBullet"/>
      </w:pPr>
      <w:r>
        <w:t xml:space="preserve">Для СОГАЗ потребуется: заявление о выплате, копия паспорта, справка об обстоятельствах наступления страхового случая (её выдаёт воинская часть или военкомат), справка ВВК о тяжести увечья — оригинал или нотариально заверенная копия.</w:t>
      </w:r>
    </w:p>
    <w:p>
      <w:pPr>
        <w:pStyle w:val="ListBullet"/>
      </w:pPr>
      <w:r>
        <w:t xml:space="preserve">Справка о тяжести увечья также понадобится для выплат за ранение (по приказу МО № 727 от 24.12.2022 и др.), оформления статуса ветерана боевых действий и ряда региональных мер поддержки.</w:t>
      </w:r>
    </w:p>
    <w:p>
      <w:pPr>
        <w:pStyle w:val="ListBullet"/>
      </w:pPr>
      <w:r>
        <w:t xml:space="preserve">Адрес для самостоятельной отправки в СОГАЗ: 107078, г. Москва, проспект Академика Сахарова, д. 10, АО «СОГАЗ». Пакет также можно подать через воинскую часть или военкомат.</w:t>
      </w:r>
    </w:p>
    <w:p>
      <w:pPr>
        <w:pStyle w:val="Heading1"/>
      </w:pPr>
      <w:r>
        <w:t xml:space="preserve">8. Типичные ошибки</w:t>
      </w:r>
    </w:p>
    <w:p>
      <w:pPr>
        <w:pStyle w:val="ListBullet"/>
      </w:pPr>
      <w:r>
        <w:t xml:space="preserve">Путать справку ВВК о тяжести увечья со справкой об обстоятельствах страхового случая — нужны оба документа.</w:t>
      </w:r>
    </w:p>
    <w:p>
      <w:pPr>
        <w:pStyle w:val="ListBullet"/>
      </w:pPr>
      <w:r>
        <w:t xml:space="preserve">Отправлять оригиналы медицинских документов почтой — направлять только копии.</w:t>
      </w:r>
    </w:p>
    <w:p>
      <w:pPr>
        <w:pStyle w:val="ListBullet"/>
      </w:pPr>
      <w:r>
        <w:t xml:space="preserve">Не сохранять подтверждение отправки — без него невозможно доказать направление обращения.</w:t>
      </w:r>
    </w:p>
    <w:p>
      <w:pPr>
        <w:pStyle w:val="ListBullet"/>
      </w:pPr>
      <w:r>
        <w:t xml:space="preserve">Указывать только диагноз без просьбы об установлении причинной связи — выплату без неё не назначат.</w:t>
      </w:r>
    </w:p>
    <w:p>
      <w:pPr>
        <w:pStyle w:val="ListBullet"/>
      </w:pPr>
      <w:r>
        <w:t xml:space="preserve">Пропускать годичный срок обращения в страховую компанию.</w:t>
      </w:r>
    </w:p>
    <w:p>
      <w:pPr>
        <w:pStyle w:val="ListBullet"/>
      </w:pPr>
      <w:r>
        <w:t xml:space="preserve">Отказываться от очного освидетельствования, если комиссия сочтёт его необходимым.</w:t>
      </w:r>
    </w:p>
    <w:p/>
    <w:p>
      <w:r>
        <w:rPr>
          <w:b w:val="0"/>
          <w:i/>
          <w:sz w:val="20"/>
        </w:rPr>
        <w:t xml:space="preserve">Памятка носит информационный характер. Конкретный состав документов и порядок обращения уточняйте в филиале ГЦ ВВЭ и военном комиссариате по месту проживания.</w:t>
      </w:r>
    </w:p>
    <w:sectPr>
      <w:pgSz w:h="15840" w:w="122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">
    <w:panose1 w:val="05040102010807070707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singleLevel"/>
    <w:nsid w:val="FFFFFF7C"/>
    <w:lvl w:ilvl="0">
      <w:lvlJc w:val="left"/>
      <w:lvlText w:val="%1."/>
      <w:numFmt w:val="decimal"/>
      <w:pPr>
        <w:tabs>
          <w:tab w:val="num" w:pos="1800"/>
        </w:tabs>
        <w:ind w:hanging="360" w:left="1800"/>
      </w:pPr>
      <w:start w:val="1"/>
    </w:lvl>
  </w:abstractNum>
  <w:abstractNum w:abstractNumId="1">
    <w:multiLevelType w:val="singleLevel"/>
    <w:nsid w:val="FFFFFF7D"/>
    <w:lvl w:ilvl="0">
      <w:lvlJc w:val="left"/>
      <w:lvlText w:val="%1."/>
      <w:numFmt w:val="decimal"/>
      <w:pPr>
        <w:tabs>
          <w:tab w:val="num" w:pos="1440"/>
        </w:tabs>
        <w:ind w:hanging="360" w:left="1440"/>
      </w:pPr>
      <w:start w:val="1"/>
    </w:lvl>
  </w:abstractNum>
  <w:abstractNum w:abstractNumId="2">
    <w:multiLevelType w:val="singleLevel"/>
    <w:nsid w:val="FFFFFF7E"/>
    <w:lvl w:ilvl="0">
      <w:lvlJc w:val="left"/>
      <w:lvlText w:val="%1."/>
      <w:numFmt w:val="decimal"/>
      <w:pPr>
        <w:tabs>
          <w:tab w:val="num" w:pos="1080"/>
        </w:tabs>
        <w:ind w:hanging="360" w:left="1080"/>
      </w:pPr>
      <w:pStyle w:val="ListNumber3"/>
      <w:start w:val="1"/>
    </w:lvl>
  </w:abstractNum>
  <w:abstractNum w:abstractNumId="3">
    <w:multiLevelType w:val="singleLevel"/>
    <w:nsid w:val="FFFFFF7F"/>
    <w:lvl w:ilvl="0">
      <w:lvlJc w:val="left"/>
      <w:lvlText w:val="%1."/>
      <w:numFmt w:val="decimal"/>
      <w:pPr>
        <w:tabs>
          <w:tab w:val="num" w:pos="720"/>
        </w:tabs>
        <w:ind w:hanging="360" w:left="720"/>
      </w:pPr>
      <w:pStyle w:val="ListNumber2"/>
      <w:start w:val="1"/>
    </w:lvl>
  </w:abstractNum>
  <w:abstractNum w:abstractNumId="4">
    <w:multiLevelType w:val="singleLevel"/>
    <w:nsid w:val="FFFFFF81"/>
    <w:lvl w:ilvl="0">
      <w:lvlJc w:val="left"/>
      <w:lvlText w:val=""/>
      <w:numFmt w:val="bullet"/>
      <w:pPr>
        <w:tabs>
          <w:tab w:val="num" w:pos="1440"/>
        </w:tabs>
        <w:ind w:hanging="360" w:left="1440"/>
      </w:pPr>
      <w:rPr>
        <w:rFonts w:hint="default" w:ascii="Symbol" w:hAnsi="Symbol"/>
      </w:rPr>
      <w:start w:val="1"/>
    </w:lvl>
  </w:abstractNum>
  <w:abstractNum w:abstractNumId="5">
    <w:multiLevelType w:val="singleLevel"/>
    <w:nsid w:val="FFFFFF82"/>
    <w:lvl w:ilvl="0">
      <w:lvlJc w:val="left"/>
      <w:lvlText w:val=""/>
      <w:numFmt w:val="bullet"/>
      <w:pPr>
        <w:tabs>
          <w:tab w:val="num" w:pos="1080"/>
        </w:tabs>
        <w:ind w:hanging="360" w:left="1080"/>
      </w:pPr>
      <w:pStyle w:val="ListBullet3"/>
      <w:rPr>
        <w:rFonts w:hint="default" w:ascii="Symbol" w:hAnsi="Symbol"/>
      </w:rPr>
      <w:start w:val="1"/>
    </w:lvl>
  </w:abstractNum>
  <w:abstractNum w:abstractNumId="6">
    <w:multiLevelType w:val="singleLevel"/>
    <w:nsid w:val="FFFFFF83"/>
    <w:lvl w:ilvl="0">
      <w:lvlJc w:val="left"/>
      <w:lvlText w:val=""/>
      <w:numFmt w:val="bullet"/>
      <w:pPr>
        <w:tabs>
          <w:tab w:val="num" w:pos="720"/>
        </w:tabs>
        <w:ind w:hanging="360" w:left="720"/>
      </w:pPr>
      <w:pStyle w:val="ListBullet2"/>
      <w:rPr>
        <w:rFonts w:hint="default" w:ascii="Symbol" w:hAnsi="Symbol"/>
      </w:rPr>
      <w:start w:val="1"/>
    </w:lvl>
  </w:abstractNum>
  <w:abstractNum w:abstractNumId="7">
    <w:multiLevelType w:val="singleLevel"/>
    <w:nsid w:val="FFFFFF88"/>
    <w:lvl w:ilvl="0">
      <w:lvlJc w:val="left"/>
      <w:lvlText w:val="%1."/>
      <w:numFmt w:val="decimal"/>
      <w:pPr>
        <w:tabs>
          <w:tab w:val="num" w:pos="360"/>
        </w:tabs>
        <w:ind w:hanging="360" w:left="360"/>
      </w:pPr>
      <w:pStyle w:val="ListNumber"/>
      <w:start w:val="1"/>
    </w:lvl>
  </w:abstractNum>
  <w:abstractNum w:abstractNumId="8">
    <w:multiLevelType w:val="singleLevel"/>
    <w:nsid w:val="FFFFFF89"/>
    <w:lvl w:ilvl="0">
      <w:lvlJc w:val="left"/>
      <w:lvlText w:val=""/>
      <w:numFmt w:val="bullet"/>
      <w:pPr>
        <w:tabs>
          <w:tab w:val="num" w:pos="360"/>
        </w:tabs>
        <w:ind w:hanging="360" w:left="360"/>
      </w:pPr>
      <w:pStyle w:val="ListBullet"/>
      <w:rPr>
        <w:rFonts w:hint="default" w:ascii="Symbol" w:hAnsi="Symbol"/>
      </w:rPr>
      <w:start w:val="1"/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Heading1">
    <w:name w:val="heading 1"/>
    <w:basedOn w:val="Normal"/>
    <w:next w:val="Normal"/>
    <w:link w:val="Heading1Char"/>
    <w:uiPriority w:val="9"/>
    <w:qFormat/>
    <w:pPr>
      <w:keepNext w:val="true"/>
      <w:keepLines w:val="true"/>
      <w:spacing w:after="0" w:before="480"/>
      <w:outlineLvl w:val="0"/>
    </w:pPr>
    <w:rPr>
      <w:rFonts w:ascii="Times New Roman" w:hAnsi="Times New Roman" w:asciiTheme="majorHAnsi" w:hAnsiTheme="majorHAnsi" w:eastAsiaTheme="majorEastAsia" w:cstheme="majorBidi"/>
      <w:b/>
      <w:bCs/>
      <w:color w:val="1f3a5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 w:val="true"/>
      <w:keepLines w:val="true"/>
      <w:spacing w:after="0" w:before="200"/>
      <w:outlineLvl w:val="1"/>
    </w:pPr>
    <w:rPr>
      <w:rFonts w:ascii="Times New Roman" w:hAnsi="Times New Roman" w:asciiTheme="majorHAnsi" w:hAnsiTheme="majorHAnsi" w:eastAsiaTheme="majorEastAsia" w:cstheme="majorBidi"/>
      <w:b/>
      <w:bCs/>
      <w:color w:val="1f3a5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 w:val="true"/>
      <w:keepLines w:val="true"/>
      <w:spacing w:after="0" w:before="200"/>
      <w:outlineLvl w:val="2"/>
    </w:pPr>
    <w:rPr>
      <w:rFonts w:ascii="Times New Roman" w:hAnsi="Times New Roman" w:asciiTheme="majorHAnsi" w:hAnsiTheme="majorHAnsi" w:eastAsiaTheme="majorEastAsia" w:cstheme="majorBidi"/>
      <w:b/>
      <w:bCs/>
      <w:color w:val="1f3a5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 w:val="true"/>
      <w:keepLines w:val="true"/>
      <w:spacing w:after="0"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 w:val="true"/>
      <w:keepLines w:val="true"/>
      <w:spacing w:after="0"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 w:val="true"/>
      <w:keepLines w:val="true"/>
      <w:spacing w:after="0" w:before="20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 w:val="true"/>
      <w:keepLines w:val="true"/>
      <w:spacing w:after="0"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 w:val="true"/>
      <w:keepLines w:val="true"/>
      <w:spacing w:after="0" w:before="20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 w:val="true"/>
      <w:keepLines w:val="true"/>
      <w:spacing w:after="0" w:before="20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color="4f81bd" w:themeColor="accent1" w:sz="8" w:space="4"/>
      </w:pBdr>
      <w:spacing w:after="300" w:line="240" w:lineRule="auto"/>
      <w:contextualSpacing w:val="true"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 w:val="true"/>
    </w:pPr>
  </w:style>
  <w:style w:type="paragraph" w:styleId="BodyText">
    <w:name w:val="Body Text"/>
    <w:basedOn w:val="Normal"/>
    <w:link w:val="BodyTextChar"/>
    <w:uiPriority w:val="99"/>
    <w:unhideWhenUsed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</w:style>
  <w:style w:type="paragraph" w:styleId="BodyText2">
    <w:name w:val="Body Text 2"/>
    <w:basedOn w:val="Normal"/>
    <w:link w:val="BodyText2Char"/>
    <w:uiPriority w:val="99"/>
    <w:unhideWhenUsed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</w:style>
  <w:style w:type="paragraph" w:styleId="BodyText3">
    <w:name w:val="Body Text 3"/>
    <w:basedOn w:val="Normal"/>
    <w:link w:val="BodyText3Char"/>
    <w:uiPriority w:val="99"/>
    <w:unhideWhenUsed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Pr>
      <w:sz w:val="16"/>
      <w:szCs w:val="16"/>
    </w:rPr>
  </w:style>
  <w:style w:type="paragraph" w:styleId="List">
    <w:name w:val="List"/>
    <w:basedOn w:val="Normal"/>
    <w:uiPriority w:val="99"/>
    <w:unhideWhenUsed/>
    <w:pPr>
      <w:ind w:hanging="360" w:left="360"/>
      <w:contextualSpacing w:val="true"/>
    </w:pPr>
  </w:style>
  <w:style w:type="paragraph" w:styleId="List2">
    <w:name w:val="List 2"/>
    <w:basedOn w:val="Normal"/>
    <w:uiPriority w:val="99"/>
    <w:unhideWhenUsed/>
    <w:pPr>
      <w:ind w:hanging="360" w:left="720"/>
      <w:contextualSpacing w:val="true"/>
    </w:pPr>
  </w:style>
  <w:style w:type="paragraph" w:styleId="List3">
    <w:name w:val="List 3"/>
    <w:basedOn w:val="Normal"/>
    <w:uiPriority w:val="99"/>
    <w:unhideWhenUsed/>
    <w:pPr>
      <w:ind w:hanging="360" w:left="1080"/>
      <w:contextualSpacing w:val="true"/>
    </w:pPr>
  </w:style>
  <w:style w:type="paragraph" w:styleId="ListBullet">
    <w:name w:val="List Bullet"/>
    <w:basedOn w:val="Normal"/>
    <w:uiPriority w:val="99"/>
    <w:unhideWhenUsed/>
    <w:pPr>
      <w:numPr>
        <w:numId w:val="1"/>
      </w:numPr>
      <w:contextualSpacing w:val="true"/>
    </w:pPr>
  </w:style>
  <w:style w:type="paragraph" w:styleId="ListBullet2">
    <w:name w:val="List Bullet 2"/>
    <w:basedOn w:val="Normal"/>
    <w:uiPriority w:val="99"/>
    <w:unhideWhenUsed/>
    <w:pPr>
      <w:numPr>
        <w:numId w:val="2"/>
      </w:numPr>
      <w:contextualSpacing w:val="true"/>
    </w:pPr>
  </w:style>
  <w:style w:type="paragraph" w:styleId="ListBullet3">
    <w:name w:val="List Bullet 3"/>
    <w:basedOn w:val="Normal"/>
    <w:uiPriority w:val="99"/>
    <w:unhideWhenUsed/>
    <w:pPr>
      <w:numPr>
        <w:numId w:val="3"/>
      </w:numPr>
      <w:contextualSpacing w:val="true"/>
    </w:pPr>
  </w:style>
  <w:style w:type="paragraph" w:styleId="ListNumber">
    <w:name w:val="List Number"/>
    <w:basedOn w:val="Normal"/>
    <w:uiPriority w:val="99"/>
    <w:unhideWhenUsed/>
    <w:pPr>
      <w:numPr>
        <w:numId w:val="5"/>
      </w:numPr>
      <w:contextualSpacing w:val="true"/>
    </w:pPr>
  </w:style>
  <w:style w:type="paragraph" w:styleId="ListNumber2">
    <w:name w:val="List Number 2"/>
    <w:basedOn w:val="Normal"/>
    <w:uiPriority w:val="99"/>
    <w:unhideWhenUsed/>
    <w:pPr>
      <w:numPr>
        <w:numId w:val="6"/>
      </w:numPr>
      <w:contextualSpacing w:val="true"/>
    </w:pPr>
  </w:style>
  <w:style w:type="paragraph" w:styleId="ListNumber3">
    <w:name w:val="List Number 3"/>
    <w:basedOn w:val="Normal"/>
    <w:uiPriority w:val="99"/>
    <w:unhideWhenUsed/>
    <w:pPr>
      <w:numPr>
        <w:numId w:val="7"/>
      </w:numPr>
      <w:contextualSpacing w:val="true"/>
    </w:pPr>
  </w:style>
  <w:style w:type="paragraph" w:styleId="ListContinue">
    <w:name w:val="List Continue"/>
    <w:basedOn w:val="Normal"/>
    <w:uiPriority w:val="99"/>
    <w:unhideWhenUsed/>
    <w:pPr>
      <w:spacing w:after="120"/>
      <w:ind w:left="360"/>
      <w:contextualSpacing w:val="true"/>
    </w:pPr>
  </w:style>
  <w:style w:type="paragraph" w:styleId="ListContinue2">
    <w:name w:val="List Continue 2"/>
    <w:basedOn w:val="Normal"/>
    <w:uiPriority w:val="99"/>
    <w:unhideWhenUsed/>
    <w:pPr>
      <w:spacing w:after="120"/>
      <w:ind w:left="720"/>
      <w:contextualSpacing w:val="true"/>
    </w:pPr>
  </w:style>
  <w:style w:type="paragraph" w:styleId="ListContinue3">
    <w:name w:val="List Continue 3"/>
    <w:basedOn w:val="Normal"/>
    <w:uiPriority w:val="99"/>
    <w:unhideWhenUsed/>
    <w:pPr>
      <w:spacing w:after="120"/>
      <w:ind w:left="1080"/>
      <w:contextualSpacing w:val="true"/>
    </w:pPr>
  </w:style>
  <w:style w:type="paragraph" w:styleId="MacroText">
    <w:name w:val="macro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color="4f81bd" w:themeColor="accent1" w:sz="4" w:space="4"/>
      </w:pBdr>
      <w:spacing w:after="280" w:before="200"/>
      <w:ind w:right="936" w:lef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b/>
        <w:bCs/>
      </w:rPr>
      <w:pPr>
        <w:spacing w:after="0" w:before="0" w:line="240" w:lineRule="auto"/>
      </w:p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b/>
        <w:bCs/>
      </w:rPr>
      <w:pPr>
        <w:spacing w:after="0" w:before="0" w:line="240" w:lineRule="auto"/>
      </w:p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b/>
        <w:bCs/>
      </w:rPr>
      <w:pPr>
        <w:spacing w:after="0" w:before="0" w:line="240" w:lineRule="auto"/>
      </w:p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b/>
        <w:bCs/>
      </w:rPr>
      <w:pPr>
        <w:spacing w:after="0" w:before="0" w:line="240" w:lineRule="auto"/>
      </w:p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b/>
        <w:bCs/>
      </w:rPr>
      <w:pPr>
        <w:spacing w:after="0" w:before="0" w:line="240" w:lineRule="auto"/>
      </w:p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b/>
        <w:bCs/>
      </w:rPr>
      <w:pPr>
        <w:spacing w:after="0" w:before="0" w:line="240" w:lineRule="auto"/>
      </w:p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b/>
        <w:bCs/>
      </w:rPr>
      <w:pPr>
        <w:spacing w:after="0" w:before="0" w:line="240" w:lineRule="auto"/>
      </w:p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shd w:val="clear" w:color="auto" w:fill="000000" w:themeFill="text1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shd w:val="clear" w:color="auto" w:fill="4f81bd" w:themeFill="accent1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shd w:val="clear" w:color="auto" w:fill="c0504d" w:themeFill="accent2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shd w:val="clear" w:color="auto" w:fill="9bbb59" w:themeFill="accent3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shd w:val="clear" w:color="auto" w:fill="8064a2" w:themeFill="accent4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shd w:val="clear" w:color="auto" w:fill="4bacc6" w:themeFill="accent5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shd w:val="clear" w:color="auto" w:fill="f79646" w:themeFill="accent6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after="0" w:before="0" w:line="240" w:lineRule="auto"/>
      </w:p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0c0c0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2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1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pPr>
        <w:spacing w:after="0" w:before="0" w:line="240" w:lineRule="auto"/>
      </w:p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4d0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uto" w:sz="18" w:space="0"/>
        <w:bottom w:val="single" w:color="auto" w:sz="1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rPr>
        <w:color w:val="auto"/>
      </w:rPr>
      <w:pPr>
        <w:spacing w:after="0" w:before="0" w:line="240" w:lineRule="auto"/>
      </w:p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cPr>
        <w:shd w:val="clear" w:color="auto" w:fill="d8d8d8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uto" w:sz="18" w:space="0"/>
        <w:bottom w:val="single" w:color="auto" w:sz="1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rPr>
        <w:color w:val="auto"/>
      </w:rPr>
      <w:pPr>
        <w:spacing w:after="0" w:before="0" w:line="240" w:lineRule="auto"/>
      </w:p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cPr>
        <w:shd w:val="clear" w:color="auto" w:fill="d8d8d8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uto" w:sz="18" w:space="0"/>
        <w:bottom w:val="single" w:color="auto" w:sz="1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rPr>
        <w:color w:val="auto"/>
      </w:rPr>
      <w:pPr>
        <w:spacing w:after="0" w:before="0" w:line="240" w:lineRule="auto"/>
      </w:p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cPr>
        <w:shd w:val="clear" w:color="auto" w:fill="d8d8d8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uto" w:sz="18" w:space="0"/>
        <w:bottom w:val="single" w:color="auto" w:sz="1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rPr>
        <w:color w:val="auto"/>
      </w:rPr>
      <w:pPr>
        <w:spacing w:after="0" w:before="0" w:line="240" w:lineRule="auto"/>
      </w:p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cPr>
        <w:shd w:val="clear" w:color="auto" w:fill="d8d8d8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uto" w:sz="18" w:space="0"/>
        <w:bottom w:val="single" w:color="auto" w:sz="1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rPr>
        <w:color w:val="auto"/>
      </w:rPr>
      <w:pPr>
        <w:spacing w:after="0" w:before="0" w:line="240" w:lineRule="auto"/>
      </w:p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cPr>
        <w:shd w:val="clear" w:color="auto" w:fill="d8d8d8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uto" w:sz="18" w:space="0"/>
        <w:bottom w:val="single" w:color="auto" w:sz="1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rPr>
        <w:color w:val="auto"/>
      </w:rPr>
      <w:pPr>
        <w:spacing w:after="0" w:before="0" w:line="240" w:lineRule="auto"/>
      </w:p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cPr>
        <w:shd w:val="clear" w:color="auto" w:fill="d8d8d8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uto" w:sz="18" w:space="0"/>
        <w:bottom w:val="single" w:color="auto" w:sz="18" w:space="0"/>
      </w:tblBorders>
    </w:tblPr>
    <w:tblStylePr w:type="firstRow">
      <w:rPr>
        <w:b/>
        <w:bCs/>
        <w:color w:val="ffffff" w:themeColor="background1"/>
      </w:rPr>
      <w:pPr>
        <w:spacing w:after="0" w:before="0" w:line="240" w:lineRule="auto"/>
      </w:p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rPr>
        <w:color w:val="auto"/>
      </w:rPr>
      <w:pPr>
        <w:spacing w:after="0" w:before="0" w:line="240" w:lineRule="auto"/>
      </w:p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cPr>
        <w:shd w:val="clear" w:color="auto" w:fill="d8d8d8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c0c0c0" w:themeFill="text1" w:themeFillTint="3F"/>
      </w:tcPr>
    </w:tblStylePr>
    <w:tblStylePr w:type="band1Horz"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2" w:themeFill="accent2" w:themeFillTint="3F"/>
      </w:tcPr>
    </w:tblStylePr>
    <w:tblStylePr w:type="band1Horz"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1" w:themeFill="accent5" w:themeFillTint="3F"/>
      </w:tcPr>
    </w:tblStylePr>
    <w:tblStylePr w:type="band1Horz"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4d0" w:themeFill="accent6" w:themeFillTint="3F"/>
      </w:tcPr>
    </w:tblStylePr>
    <w:tblStylePr w:type="band1Horz"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808080" w:themeFill="text1" w:themeFillTint="7F"/>
      </w:tcPr>
    </w:tblStylePr>
    <w:tblStylePr w:type="band1Horz"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bfde" w:themeFill="accent1" w:themeFillTint="7F"/>
      </w:tcPr>
    </w:tblStylePr>
    <w:tblStylePr w:type="band1Horz"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808080" w:themeFill="text1" w:themeFillTint="7F"/>
      </w:tcPr>
    </w:tblStylePr>
    <w:tblStylePr w:type="band1Horz"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bfde" w:themeFill="accent1" w:themeFillTint="7F"/>
      </w:tcPr>
    </w:tblStylePr>
    <w:tblStylePr w:type="band1Horz"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cPr>
        <w:shd w:val="clear" w:color="auto" w:fill="000000" w:themeFill="text1" w:themeFillShade="BF"/>
      </w:tcPr>
    </w:tblStylePr>
    <w:tblStylePr w:type="band1Vert">
      <w:tcPr>
        <w:shd w:val="clear" w:color="auto" w:fill="808080" w:themeFill="text1" w:themeFillTint="7F"/>
      </w:tcPr>
    </w:tblStylePr>
    <w:tblStylePr w:type="band1Horz"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cPr>
        <w:shd w:val="clear" w:color="auto" w:fill="365f91" w:themeFill="accent1" w:themeFillShade="BF"/>
      </w:tcPr>
    </w:tblStylePr>
    <w:tblStylePr w:type="band1Vert">
      <w:tcPr>
        <w:shd w:val="clear" w:color="auto" w:fill="a7bfde" w:themeFill="accent1" w:themeFillTint="7F"/>
      </w:tcPr>
    </w:tblStylePr>
    <w:tblStylePr w:type="band1Horz"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cPr>
        <w:shd w:val="clear" w:color="auto" w:fill="9436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cPr>
        <w:shd w:val="clear" w:color="auto" w:fill="e36c0a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CharactersWithSpaces>0</CharactersWithSpaces>
  <Application>ONLYOFFICE/9.2.1.43</Application>
  <DocSecurity>0</DocSecurity>
  <Lines>0</Lines>
  <Paragraphs>0</Paragraphs>
  <ScaleCrop>0</ScaleCrop>
  <HeadingPairs>
    <vt:vector size="0" baseType="variant"/>
  </HeadingPairs>
  <TitlesOfParts>
    <vt:vector size="0" baseType="lpstr"/>
  </TitlesOfParts>
  <Manager/>
  <Company/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