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jc w:val="center"/>
      </w:pPr>
      <w:r>
        <w:rPr>
          <w:b/>
          <w:sz w:val="28"/>
        </w:rPr>
        <w:t xml:space="preserve">ПАМЯТКА</w:t>
      </w:r>
    </w:p>
    <w:p>
      <w:pPr>
        <w:jc w:val="center"/>
      </w:pPr>
      <w:r>
        <w:rPr>
          <w:b/>
        </w:rPr>
        <w:t xml:space="preserve">Справка об обстоятельствах исчезновения или возможной гибели военнослужащего</w:t>
        <w:br/>
        <w:t xml:space="preserve">(постановление Правительства РФ от 01.09.2023 № 1421)</w:t>
      </w:r>
    </w:p>
    <w:p>
      <w:r>
        <w:rPr>
          <w:b/>
          <w:sz w:val="25"/>
        </w:rPr>
        <w:t xml:space="preserve">1. Что это за справка и кому она выдаётся</w:t>
      </w:r>
    </w:p>
    <w:p>
      <w:r>
        <w:t xml:space="preserve">Справка содержит официальные сведения об обстоятельствах исчезновения военнослужащего либо об обстоятельствах его исчезновения или возможной гибели в ходе специальной военной операции или вооружённой провокации на государственной границе. Она оформляется не только на военнослужащих, но и на:</w:t>
      </w:r>
    </w:p>
    <w:p>
      <w:pPr>
        <w:pStyle w:val="ListBullet"/>
      </w:pPr>
      <w:r>
        <w:t xml:space="preserve">сотрудников войск национальной гвардии и других воинских формирований;</w:t>
      </w:r>
    </w:p>
    <w:p>
      <w:pPr>
        <w:pStyle w:val="ListBullet"/>
      </w:pPr>
      <w:r>
        <w:t xml:space="preserve">добровольцев — лиц с контрактом о добровольном содействии, включая персонал организаций-содействников;</w:t>
      </w:r>
    </w:p>
    <w:p>
      <w:pPr>
        <w:pStyle w:val="ListBullet"/>
      </w:pPr>
      <w:r>
        <w:t xml:space="preserve">служащих правоохранительных органов, находившихся на территориях СВО;</w:t>
      </w:r>
    </w:p>
    <w:p>
      <w:pPr>
        <w:pStyle w:val="ListBullet"/>
      </w:pPr>
      <w:r>
        <w:t xml:space="preserve">граждан, проживавших или временно находившихся на этих территориях (оформляет территориальный орган МВД).</w:t>
      </w:r>
    </w:p>
    <w:p>
      <w:r>
        <w:rPr>
          <w:b/>
          <w:sz w:val="25"/>
        </w:rPr>
        <w:t xml:space="preserve">2. Куда обращаться</w:t>
      </w:r>
    </w:p>
    <w:p>
      <w:pPr>
        <w:pStyle w:val="ListNumber"/>
      </w:pPr>
      <w:r>
        <w:rPr>
          <w:b/>
        </w:rPr>
        <w:t xml:space="preserve">Шаг 1. </w:t>
      </w:r>
      <w:r>
        <w:t xml:space="preserve">Член семьи военнослужащего (или его законный представитель) обращается в военный комиссариат ПО МЕСТУ СВОЕГО ЖИТЕЛЬСТВА — не в воинскую часть и не в военкомат по месту службы пропавшего.</w:t>
      </w:r>
    </w:p>
    <w:p>
      <w:pPr>
        <w:pStyle w:val="ListNumber"/>
      </w:pPr>
      <w:r>
        <w:rPr>
          <w:b/>
        </w:rPr>
        <w:t xml:space="preserve">Шаг 2. </w:t>
      </w:r>
      <w:r>
        <w:t xml:space="preserve">Военкомат направляет запрос в воинскую часть, где служил военнослужащий. Лично ехать в часть не требуется.</w:t>
      </w:r>
    </w:p>
    <w:p>
      <w:pPr>
        <w:pStyle w:val="ListNumber"/>
      </w:pPr>
      <w:r>
        <w:rPr>
          <w:b/>
        </w:rPr>
        <w:t xml:space="preserve">Шаг 3. </w:t>
      </w:r>
      <w:r>
        <w:t xml:space="preserve">Воинская часть оформляет справку (подписывает командир, заверяет печатью) и направляет её в военкомат. Второй экземпляр остаётся в части и затем передаётся в архив.</w:t>
      </w:r>
    </w:p>
    <w:p>
      <w:pPr>
        <w:pStyle w:val="ListNumber"/>
      </w:pPr>
      <w:r>
        <w:rPr>
          <w:b/>
        </w:rPr>
        <w:t xml:space="preserve">Шаг 4. </w:t>
      </w:r>
      <w:r>
        <w:t xml:space="preserve">Справку забирают в том же военкомате, куда подавался запрос. Передача документа из части в военкомат ещё не означает, что справка выдана семье.</w:t>
      </w:r>
    </w:p>
    <w:p>
      <w:r>
        <w:t xml:space="preserve">Если обращается не сам член семьи, а законный представитель (опекун, доверенное лицо) — он действует от имени члена семьи; по общим правилам может потребоваться доверенность. Комплект уточните в военкомате перед подачей.</w:t>
      </w:r>
    </w:p>
    <w:p>
      <w:r>
        <w:rPr>
          <w:b/>
          <w:sz w:val="25"/>
        </w:rPr>
        <w:t xml:space="preserve">3. Сроки — главное, что нужно знать</w:t>
      </w:r>
    </w:p>
    <w:p>
      <w:r>
        <w:rPr>
          <w:b/>
        </w:rPr>
        <w:t xml:space="preserve">Справка об исчезновении: </w:t>
      </w:r>
      <w:r>
        <w:t xml:space="preserve">СПРАВКА ОБ ИСЧЕЗНОВЕНИИ / ВОЗМОЖНОЙ ГИБЕЛИ: выдаётся в течение 30 ДНЕЙ СО ДНЯ ОБРАЩЕНИЯ семьи (п. 11 Правил). Это ОБЩИЙ срок оформления и выдачи — его нельзя делить на «30 дней в части плюс 30 дней в военкомате», и нельзя автоматически прибавлять к нему время пересылки документов между частью и военкоматом: отдельный срок пересылки постановлением не установлен.</w:t>
      </w:r>
    </w:p>
    <w:p>
      <w:r>
        <w:rPr>
          <w:b/>
        </w:rPr>
        <w:t xml:space="preserve">Справка о смерти: </w:t>
      </w:r>
      <w:r>
        <w:t xml:space="preserve">СПРАВКА О СМЕРТИ (оформляется, когда выдать медицинское свидетельство о смерти невозможно): военкомат выдаёт её члену семьи в течение 10 ДНЕЙ СО ДНЯ ПОСТУПЛЕНИЯ ИЗ ВОИНСКОЙ ЧАСТИ. Этот срок считается не со дня обращения семьи, а со дня поступления готовой справки в военкомат. Для справок о смерти добровольцев из организаций-содействников — 30 дней со дня поступления обращения в Минобороны, после чего справку направляют семье, в ЗАГС или МФЦ.</w:t>
      </w:r>
    </w:p>
    <w:p>
      <w:r>
        <w:t xml:space="preserve">НЕ СМЕШИВАТЬ ДВА СРОКА: 30 дней — для справок об исчезновении / возможной гибели; 10 дней — для справки о смерти, и только со дня её поступления в военкомат. Правовое основание у этих сроков разное (п. 11 и п. 6 разных разделов постановления № 1421).</w:t>
      </w:r>
    </w:p>
    <w:p>
      <w:r>
        <w:rPr>
          <w:b/>
          <w:sz w:val="25"/>
        </w:rPr>
        <w:t xml:space="preserve">4. Что взять с собой в военкомат (рекомендуемый комплект)</w:t>
      </w:r>
    </w:p>
    <w:p>
      <w:pPr>
        <w:pStyle w:val="ListBullet"/>
      </w:pPr>
      <w:r>
        <w:t xml:space="preserve">паспорт заявителя;</w:t>
      </w:r>
    </w:p>
    <w:p>
      <w:pPr>
        <w:pStyle w:val="ListBullet"/>
      </w:pPr>
      <w:r>
        <w:t xml:space="preserve">документы, подтверждающие родство (свидетельство о браке, о рождении и т. п.);</w:t>
      </w:r>
    </w:p>
    <w:p>
      <w:pPr>
        <w:pStyle w:val="ListBullet"/>
      </w:pPr>
      <w:r>
        <w:t xml:space="preserve">сведения о военнослужащем: ФИО, дата рождения, личный номер (если известен), воинская часть, период и место службы;</w:t>
      </w:r>
    </w:p>
    <w:p>
      <w:pPr>
        <w:pStyle w:val="ListBullet"/>
      </w:pPr>
      <w:r>
        <w:t xml:space="preserve">дата и, если известны, обстоятельства исчезновения;</w:t>
      </w:r>
    </w:p>
    <w:p>
      <w:pPr>
        <w:pStyle w:val="ListBullet"/>
      </w:pPr>
      <w:r>
        <w:t xml:space="preserve">контактный телефон и почтовый адрес (в том числе для направления справки почтой).</w:t>
      </w:r>
    </w:p>
    <w:p>
      <w:r>
        <w:t xml:space="preserve">Это рекомендуемый комплект, а не единый обязательный перечень — окончательный список документов уточните в военкомате.</w:t>
      </w:r>
    </w:p>
    <w:p>
      <w:r>
        <w:rPr>
          <w:b/>
          <w:sz w:val="25"/>
        </w:rPr>
        <w:t xml:space="preserve">5. Если справка задерживается</w:t>
      </w:r>
    </w:p>
    <w:p>
      <w:pPr>
        <w:pStyle w:val="ListNumber"/>
      </w:pPr>
      <w:r>
        <w:t xml:space="preserve">Письменно обратитесь в тот военкомат, куда подавался запрос: укажите дату обращения (сохраните копию заявления или талон с входящим номером) и попросите сообщить, на каком этапе оформление.</w:t>
      </w:r>
    </w:p>
    <w:p>
      <w:pPr>
        <w:pStyle w:val="ListNumber"/>
      </w:pPr>
      <w:r>
        <w:t xml:space="preserve">Сохраните подтверждение подачи и ответ военкомата — они понадобятся при дальнейших обращениях.</w:t>
      </w:r>
    </w:p>
    <w:p>
      <w:pPr>
        <w:pStyle w:val="ListNumber"/>
      </w:pPr>
      <w:r>
        <w:t xml:space="preserve">Если вопрос не решается — обращение в вышестоящий орган (военный комиссариат субъекта, Министерство обороны) или в военную прокуратуру. Отдельного «сверхсрочного» порядка ответа на такие обращения постановление № 1421 не устанавливает, но общие сроки рассмотрения обращений (30 дней по 59-ФЗ) действуют.</w:t>
      </w:r>
    </w:p>
    <w:p>
      <w:r>
        <w:t xml:space="preserve">Справка об исчезновении не заменяет решение суда о признании человека безвестно отсутствующим или умершим — это разные процедуры, но справка служит одним из документов для них и для оформления мер социальной поддержки.</w:t>
      </w:r>
    </w:p>
    <w:p>
      <w:r>
        <w:rPr>
          <w:b/>
          <w:sz w:val="25"/>
        </w:rPr>
        <w:t xml:space="preserve">6. Типичные ошибки</w:t>
      </w:r>
    </w:p>
    <w:p>
      <w:pPr>
        <w:pStyle w:val="ListBullet"/>
      </w:pPr>
      <w:r>
        <w:t xml:space="preserve">ехать за справкой непосредственно в воинскую часть вместо военкомата по месту жительства;</w:t>
      </w:r>
    </w:p>
    <w:p>
      <w:pPr>
        <w:pStyle w:val="ListBullet"/>
      </w:pPr>
      <w:r>
        <w:t xml:space="preserve">складывать сроки по схеме «30 + 30» или прибавлять к 30 дням время пересылки;</w:t>
      </w:r>
    </w:p>
    <w:p>
      <w:pPr>
        <w:pStyle w:val="ListBullet"/>
      </w:pPr>
      <w:r>
        <w:t xml:space="preserve">путать 30 дней (справка об исчезновении) и 10 дней (справка о смерти со дня поступления в военкомат);</w:t>
      </w:r>
    </w:p>
    <w:p>
      <w:pPr>
        <w:pStyle w:val="ListBullet"/>
      </w:pPr>
      <w:r>
        <w:t xml:space="preserve">выбрасывать талон о принятии запроса и почтовые квитанции — без них сложно доказать дату обращения, от которой считается срок;</w:t>
      </w:r>
    </w:p>
    <w:p>
      <w:pPr>
        <w:pStyle w:val="ListBullet"/>
      </w:pPr>
      <w:r>
        <w:t xml:space="preserve">считать справку об исчезновении окончательным юридическим подтверждением гибели — признание умершим оформляется только судом.</w:t>
      </w:r>
    </w:p>
    <w:p>
      <w:r>
        <w:rPr>
          <w:b/>
          <w:sz w:val="25"/>
        </w:rPr>
        <w:t xml:space="preserve">7. Правовая база</w:t>
      </w:r>
    </w:p>
    <w:p>
      <w:pPr>
        <w:pStyle w:val="ListBullet"/>
      </w:pPr>
      <w:r>
        <w:t xml:space="preserve">Постановление Правительства РФ от 01.09.2023 № 1421 (в ред. от 20.10.2023 № 1747 и от 05.04.2024 № 431): п. 2 — круг лиц; п. 4 — кто оформляет; п. 5 — обращение в военкомат по месту жительства; п. 11 — срок 30 дней; п. 6 раздела о справке о смерти — срок 10 дней.</w:t>
      </w:r>
    </w:p>
    <w:p>
      <w:pPr>
        <w:pStyle w:val="ListBullet"/>
      </w:pPr>
      <w:r>
        <w:t xml:space="preserve">Федеральный закон от 02.05.2006 № 59-ФЗ — общий порядок рассмотрения обращений граждан.</w:t>
      </w:r>
    </w:p>
    <w:p>
      <w:pPr>
        <w:pStyle w:val="ListBullet"/>
      </w:pPr>
      <w:r>
        <w:t xml:space="preserve">ФЗ «Об архивном деле в РФ» № 125-ФЗ — хранение вторых экземпляров справок.</w:t>
      </w:r>
    </w:p>
    <w:p>
      <w:r>
        <w:rPr>
          <w:b/>
          <w:sz w:val="25"/>
        </w:rPr>
        <w:t xml:space="preserve">8. Важно</w:t>
      </w:r>
    </w:p>
    <w:p>
      <w:r>
        <w:t xml:space="preserve">Состав документов и порядок работы военкоматов могут меняться: перед подачей запроса уточните актуальные требования в военкомате по месту жительства. Памятка — ориентир, а не исчерпывающая инструкция.</w:t>
      </w:r>
    </w:p>
    <w:sectPr>
      <w:pgSz w:h="15840" w:w="122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5040102010807070707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singleLevel"/>
    <w:nsid w:val="FFFFFF7C"/>
    <w:lvl w:ilvl="0">
      <w:lvlJc w:val="left"/>
      <w:lvlText w:val="%1."/>
      <w:numFmt w:val="decimal"/>
      <w:pPr>
        <w:tabs>
          <w:tab w:val="num" w:pos="1800"/>
        </w:tabs>
        <w:ind w:hanging="360" w:left="1800"/>
      </w:pPr>
      <w:start w:val="1"/>
    </w:lvl>
  </w:abstractNum>
  <w:abstractNum w:abstractNumId="1">
    <w:multiLevelType w:val="singleLevel"/>
    <w:nsid w:val="FFFFFF7D"/>
    <w:lvl w:ilvl="0">
      <w:lvlJc w:val="left"/>
      <w:lvlText w:val="%1."/>
      <w:numFmt w:val="decimal"/>
      <w:pPr>
        <w:tabs>
          <w:tab w:val="num" w:pos="1440"/>
        </w:tabs>
        <w:ind w:hanging="360" w:left="1440"/>
      </w:pPr>
      <w:start w:val="1"/>
    </w:lvl>
  </w:abstractNum>
  <w:abstractNum w:abstractNumId="2">
    <w:multiLevelType w:val="singleLevel"/>
    <w:nsid w:val="FFFFFF7E"/>
    <w:lvl w:ilvl="0">
      <w:lvlJc w:val="left"/>
      <w:lvlText w:val="%1."/>
      <w:numFmt w:val="decimal"/>
      <w:pPr>
        <w:tabs>
          <w:tab w:val="num" w:pos="1080"/>
        </w:tabs>
        <w:ind w:hanging="360" w:left="1080"/>
      </w:pPr>
      <w:pStyle w:val="ListNumber3"/>
      <w:start w:val="1"/>
    </w:lvl>
  </w:abstractNum>
  <w:abstractNum w:abstractNumId="3">
    <w:multiLevelType w:val="singleLevel"/>
    <w:nsid w:val="FFFFFF7F"/>
    <w:lvl w:ilvl="0">
      <w:lvlJc w:val="left"/>
      <w:lvlText w:val="%1."/>
      <w:numFmt w:val="decimal"/>
      <w:pPr>
        <w:tabs>
          <w:tab w:val="num" w:pos="720"/>
        </w:tabs>
        <w:ind w:hanging="360" w:left="720"/>
      </w:pPr>
      <w:pStyle w:val="ListNumber2"/>
      <w:start w:val="1"/>
    </w:lvl>
  </w:abstractNum>
  <w:abstractNum w:abstractNumId="4">
    <w:multiLevelType w:val="singleLevel"/>
    <w:nsid w:val="FFFFFF81"/>
    <w:lvl w:ilvl="0">
      <w:lvlJc w:val="left"/>
      <w:lvlText w:val=""/>
      <w:numFmt w:val="bullet"/>
      <w:pPr>
        <w:tabs>
          <w:tab w:val="num" w:pos="1440"/>
        </w:tabs>
        <w:ind w:hanging="360" w:left="1440"/>
      </w:pPr>
      <w:rPr>
        <w:rFonts w:hint="default" w:ascii="Symbol" w:hAnsi="Symbol"/>
      </w:rPr>
      <w:start w:val="1"/>
    </w:lvl>
  </w:abstractNum>
  <w:abstractNum w:abstractNumId="5">
    <w:multiLevelType w:val="singleLevel"/>
    <w:nsid w:val="FFFFFF82"/>
    <w:lvl w:ilvl="0">
      <w:lvlJc w:val="left"/>
      <w:lvlText w:val=""/>
      <w:numFmt w:val="bullet"/>
      <w:pPr>
        <w:tabs>
          <w:tab w:val="num" w:pos="1080"/>
        </w:tabs>
        <w:ind w:hanging="360" w:left="1080"/>
      </w:pPr>
      <w:pStyle w:val="ListBullet3"/>
      <w:rPr>
        <w:rFonts w:hint="default" w:ascii="Symbol" w:hAnsi="Symbol"/>
      </w:rPr>
      <w:start w:val="1"/>
    </w:lvl>
  </w:abstractNum>
  <w:abstractNum w:abstractNumId="6">
    <w:multiLevelType w:val="singleLevel"/>
    <w:nsid w:val="FFFFFF83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pStyle w:val="ListBullet2"/>
      <w:rPr>
        <w:rFonts w:hint="default" w:ascii="Symbol" w:hAnsi="Symbol"/>
      </w:rPr>
      <w:start w:val="1"/>
    </w:lvl>
  </w:abstractNum>
  <w:abstractNum w:abstractNumId="7">
    <w:multiLevelType w:val="singleLevel"/>
    <w:nsid w:val="FFFFFF88"/>
    <w:lvl w:ilvl="0">
      <w:lvlJc w:val="left"/>
      <w:lvlText w:val="%1."/>
      <w:numFmt w:val="decimal"/>
      <w:pPr>
        <w:tabs>
          <w:tab w:val="num" w:pos="360"/>
        </w:tabs>
        <w:ind w:hanging="360" w:left="360"/>
      </w:pPr>
      <w:pStyle w:val="ListNumber"/>
      <w:start w:val="1"/>
    </w:lvl>
  </w:abstractNum>
  <w:abstractNum w:abstractNumId="8">
    <w:multiLevelType w:val="singleLevel"/>
    <w:nsid w:val="FFFFFF89"/>
    <w:lvl w:ilvl="0">
      <w:lvlJc w:val="left"/>
      <w:lvlText w:val=""/>
      <w:numFmt w:val="bullet"/>
      <w:pPr>
        <w:tabs>
          <w:tab w:val="num" w:pos="360"/>
        </w:tabs>
        <w:ind w:hanging="360" w:left="360"/>
      </w:pPr>
      <w:pStyle w:val="ListBullet"/>
      <w:rPr>
        <w:rFonts w:hint="default" w:ascii="Symbol" w:hAnsi="Symbol"/>
      </w:rPr>
      <w:start w:val="1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 w:val="true"/>
      <w:spacing w:after="0"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 w:val="true"/>
      <w:spacing w:after="0"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 w:val="true"/>
      <w:spacing w:after="0"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 w:val="true"/>
      <w:keepLines w:val="true"/>
      <w:spacing w:after="0"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 w:val="true"/>
      <w:keepLines w:val="true"/>
      <w:spacing w:after="0"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 w:val="true"/>
      <w:keepLines w:val="true"/>
      <w:spacing w:after="0"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 w:val="true"/>
      <w:keepLines w:val="true"/>
      <w:spacing w:after="0"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 w:val="true"/>
      <w:keepLines w:val="true"/>
      <w:spacing w:after="0"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 w:val="true"/>
      <w:keepLines w:val="true"/>
      <w:spacing w:after="0"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color="4f81bd" w:themeColor="accent1" w:sz="8" w:space="4"/>
      </w:pBdr>
      <w:spacing w:after="300" w:line="240" w:lineRule="auto"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 w:val="true"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hanging="360" w:left="360"/>
      <w:contextualSpacing w:val="true"/>
    </w:pPr>
  </w:style>
  <w:style w:type="paragraph" w:styleId="List2">
    <w:name w:val="List 2"/>
    <w:basedOn w:val="Normal"/>
    <w:uiPriority w:val="99"/>
    <w:unhideWhenUsed/>
    <w:pPr>
      <w:ind w:hanging="360" w:left="720"/>
      <w:contextualSpacing w:val="true"/>
    </w:pPr>
  </w:style>
  <w:style w:type="paragraph" w:styleId="List3">
    <w:name w:val="List 3"/>
    <w:basedOn w:val="Normal"/>
    <w:uiPriority w:val="99"/>
    <w:unhideWhenUsed/>
    <w:pPr>
      <w:ind w:hanging="360" w:left="1080"/>
      <w:contextualSpacing w:val="true"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 w:val="true"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 w:val="true"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 w:val="true"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 w:val="true"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 w:val="true"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 w:val="true"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 w:val="true"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 w:val="true"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 w:val="true"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000000" w:themeFill="tex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4f81bd" w:themeFill="accen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c0504d" w:themeFill="accent2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9bbb59" w:themeFill="accent3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8064a2" w:themeFill="accent4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4bacc6" w:themeFill="accent5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f79646" w:themeFill="accent6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c0c0c0" w:themeFill="text1" w:themeFillTint="3F"/>
      </w:tcPr>
    </w:tblStylePr>
    <w:tblStylePr w:type="band1Horz"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2" w:themeFill="accent2" w:themeFillTint="3F"/>
      </w:tcPr>
    </w:tblStylePr>
    <w:tblStylePr w:type="band1Horz"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1" w:themeFill="accent5" w:themeFillTint="3F"/>
      </w:tcPr>
    </w:tblStylePr>
    <w:tblStylePr w:type="band1Horz"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4d0" w:themeFill="accent6" w:themeFillTint="3F"/>
      </w:tcPr>
    </w:tblStylePr>
    <w:tblStylePr w:type="band1Horz"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 w:themeFill="text1" w:themeFillTint="7F"/>
      </w:tcPr>
    </w:tblStylePr>
    <w:tblStylePr w:type="band1Horz"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 w:themeFill="accent1" w:themeFillTint="7F"/>
      </w:tcPr>
    </w:tblStylePr>
    <w:tblStylePr w:type="band1Horz"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808080" w:themeFill="text1" w:themeFillTint="7F"/>
      </w:tcPr>
    </w:tblStylePr>
    <w:tblStylePr w:type="band1Horz"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bfde" w:themeFill="accent1" w:themeFillTint="7F"/>
      </w:tcPr>
    </w:tblStylePr>
    <w:tblStylePr w:type="band1Horz"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</w:tcPr>
    </w:tblStylePr>
    <w:tblStylePr w:type="band1Vert">
      <w:tcPr>
        <w:shd w:val="clear" w:color="auto" w:fill="808080" w:themeFill="text1" w:themeFillTint="7F"/>
      </w:tcPr>
    </w:tblStylePr>
    <w:tblStylePr w:type="band1Horz"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band1Vert">
      <w:tcPr>
        <w:shd w:val="clear" w:color="auto" w:fill="a7bfde" w:themeFill="accent1" w:themeFillTint="7F"/>
      </w:tcPr>
    </w:tblStylePr>
    <w:tblStylePr w:type="band1Horz"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CharactersWithSpaces>0</CharactersWithSpaces>
  <Application>ONLYOFFICE/9.2.1.43</Application>
  <DocSecurity>0</DocSecurity>
  <Lines>0</Lines>
  <Paragraphs>0</Paragraphs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