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55629390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afterAutospacing="0" w:before="0" w:beforeAutospacing="0" w:line="420" w:lineRule="atLeast"/>
        <w:ind w:right="0" w:firstLine="0" w:left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30"/>
        </w:rPr>
        <w:t xml:space="preserve">Направление на ВВК по месту пребывания во время отпуска</w:t>
      </w:r>
      <w:r>
        <w:rPr>
          <w:rFonts w:ascii="Liberation Serif" w:hAnsi="Liberation Serif" w:eastAsia="Liberation Serif" w:cs="Liberation Serif"/>
        </w:rPr>
      </w:r>
    </w:p>
    <w:p w14:paraId="0FDCA492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afterAutospacing="0" w:before="0" w:beforeAutospacing="0" w:line="420" w:lineRule="atLeast"/>
        <w:ind w:right="0" w:firstLine="0" w:left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7"/>
        </w:rPr>
        <w:t xml:space="preserve">Сначала определите вид отпуска</w:t>
      </w:r>
      <w:r>
        <w:rPr>
          <w:rFonts w:ascii="Liberation Serif" w:hAnsi="Liberation Serif" w:eastAsia="Liberation Serif" w:cs="Liberation Serif"/>
        </w:rPr>
      </w:r>
    </w:p>
    <w:p w14:paraId="3F9571C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afterAutospacing="0" w:before="0" w:beforeAutospacing="0" w:line="420" w:lineRule="atLeast"/>
        <w:ind w:right="0" w:firstLine="708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По месту пребывания военнослужащего могут направить на ВВК во время </w:t>
      </w: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отпуска по болезни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. Пребывание там в основном отпуске такого права не даёт: в обоих случаях освидетельствование требует направления.</w:t>
      </w:r>
      <w:r>
        <w:rPr>
          <w:rFonts w:ascii="Liberation Serif" w:hAnsi="Liberation Serif" w:eastAsia="Liberation Serif" w:cs="Liberation Serif"/>
        </w:rPr>
      </w:r>
    </w:p>
    <w:p w14:paraId="2452BD28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afterAutospacing="0" w:before="0" w:beforeAutospacing="0" w:line="420" w:lineRule="atLeast"/>
        <w:ind w:right="0" w:firstLine="0" w:left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7"/>
        </w:rPr>
        <w:t xml:space="preserve">Если военнослужащий в основном отпуске</w:t>
      </w:r>
      <w:r>
        <w:rPr>
          <w:rFonts w:ascii="Liberation Serif" w:hAnsi="Liberation Serif" w:eastAsia="Liberation Serif" w:cs="Liberation Serif"/>
        </w:rPr>
      </w:r>
    </w:p>
    <w:p w14:paraId="2C63C76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afterAutospacing="0" w:before="0" w:beforeAutospacing="0" w:line="420" w:lineRule="atLeast"/>
        <w:ind w:right="0" w:firstLine="708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Самостоятельно обратиться в местный военкомат и пройти ВВК только на основании отпуска нельзя. Вопрос о направлении решается в обычном служебном порядке через уполномоченных должностных лиц.</w:t>
      </w:r>
      <w:r>
        <w:rPr>
          <w:rFonts w:ascii="Liberation Serif" w:hAnsi="Liberation Serif" w:eastAsia="Liberation Serif" w:cs="Liberation Serif"/>
        </w:rPr>
      </w:r>
    </w:p>
    <w:p w14:paraId="45D2659B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afterAutospacing="0" w:before="0" w:beforeAutospacing="0" w:line="420" w:lineRule="atLeast"/>
        <w:ind w:right="0" w:firstLine="0" w:left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7"/>
        </w:rPr>
        <w:t xml:space="preserve">Если военнослужащий в отпуске по болезни</w:t>
      </w:r>
      <w:r>
        <w:rPr>
          <w:rFonts w:ascii="Liberation Serif" w:hAnsi="Liberation Serif" w:eastAsia="Liberation Serif" w:cs="Liberation Serif"/>
        </w:rPr>
      </w:r>
    </w:p>
    <w:p w14:paraId="4CC3084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afterAutospacing="0" w:before="0" w:beforeAutospacing="0" w:line="420" w:lineRule="atLeast"/>
        <w:ind w:right="0" w:firstLine="0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Направить на медицинское освидетельствование могут:</w:t>
      </w:r>
      <w:r>
        <w:rPr>
          <w:rFonts w:ascii="Liberation Serif" w:hAnsi="Liberation Serif" w:eastAsia="Liberation Serif" w:cs="Liberation Serif"/>
        </w:rPr>
      </w:r>
    </w:p>
    <w:p w14:paraId="20649F5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afterAutospacing="0" w:before="0" w:beforeAutospacing="0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военный комиссар субъекта РФ;</w:t>
      </w:r>
      <w:r>
        <w:rPr>
          <w:rFonts w:ascii="Liberation Serif" w:hAnsi="Liberation Serif" w:eastAsia="Liberation Serif" w:cs="Liberation Serif"/>
        </w:rPr>
      </w:r>
    </w:p>
    <w:p w14:paraId="32989BE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afterAutospacing="0" w:before="0" w:beforeAutospacing="0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начальник гарнизона;</w:t>
      </w:r>
      <w:r>
        <w:rPr>
          <w:rFonts w:ascii="Liberation Serif" w:hAnsi="Liberation Serif" w:eastAsia="Liberation Serif" w:cs="Liberation Serif"/>
        </w:rPr>
      </w:r>
    </w:p>
    <w:p w14:paraId="20902AE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afterAutospacing="0" w:before="0" w:beforeAutospacing="0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военный комиссар муниципального образования.</w:t>
      </w:r>
      <w:r>
        <w:rPr>
          <w:rFonts w:ascii="Liberation Serif" w:hAnsi="Liberation Serif" w:eastAsia="Liberation Serif" w:cs="Liberation Serif"/>
        </w:rPr>
      </w:r>
    </w:p>
    <w:p w14:paraId="61CC82E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afterAutospacing="0" w:before="0" w:beforeAutospacing="0" w:line="420" w:lineRule="atLeast"/>
        <w:ind w:right="0" w:firstLine="708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Для случаев, когда отпуск по болезни связан с увечьем или заболеванием, полученным при участии в СВО, предусмотрена </w:t>
      </w: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специальная схема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. Военнослужащий подаёт рапорт, после чего вопрос о направлении решается через военкомат субъекта РФ. Если в регионе есть военный госпиталь или другая военно-медицинская организация — освидетельствование проводят там. При их отсутствии — ВВК военного комис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сариата субъекта РФ.</w:t>
      </w:r>
      <w:r>
        <w:rPr>
          <w:rFonts w:ascii="Liberation Serif" w:hAnsi="Liberation Serif" w:eastAsia="Liberation Serif" w:cs="Liberation Serif"/>
        </w:rPr>
      </w:r>
    </w:p>
    <w:p w14:paraId="5D069D3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afterAutospacing="0" w:before="0" w:beforeAutospacing="0" w:line="420" w:lineRule="atLeast"/>
        <w:ind w:right="0" w:firstLine="708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Важно: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 специальная схема для случаев, связанных с СВО, не распространяется автоматически на любой отпуск по болезни. Направление также не означает заранее определённого заключения ВВК.</w:t>
      </w:r>
      <w:r>
        <w:rPr>
          <w:rFonts w:ascii="Liberation Serif" w:hAnsi="Liberation Serif" w:eastAsia="Liberation Serif" w:cs="Liberation Serif"/>
        </w:rPr>
      </w:r>
    </w:p>
    <w:p w14:paraId="3295D61C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afterAutospacing="0" w:before="0" w:beforeAutospacing="0" w:line="420" w:lineRule="atLeast"/>
        <w:ind w:right="0" w:firstLine="0" w:left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7"/>
        </w:rPr>
        <w:t xml:space="preserve">Как действовать</w:t>
      </w:r>
      <w:r>
        <w:rPr>
          <w:rFonts w:ascii="Liberation Serif" w:hAnsi="Liberation Serif" w:eastAsia="Liberation Serif" w:cs="Liberation Serif"/>
        </w:rPr>
      </w:r>
    </w:p>
    <w:p w14:paraId="45E0F45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afterAutospacing="0" w:before="0" w:beforeAutospacing="0" w:line="420" w:lineRule="atLeast"/>
        <w:ind w:right="0" w:firstLine="0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Порядок зависит от основания отпуска:</w:t>
      </w:r>
      <w:r>
        <w:rPr>
          <w:rFonts w:ascii="Liberation Serif" w:hAnsi="Liberation Serif" w:eastAsia="Liberation Serif" w:cs="Liberation Serif"/>
        </w:rPr>
      </w:r>
    </w:p>
    <w:tbl>
      <w:tblPr>
        <w:tblStyle w:val="12"/>
        <w:tblInd w:w="0" w:type="dxa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shd w:val="clear" w:color="ffffff" w:fill="ffffff"/>
        <w:tblLayout w:type="autofit"/>
        <w:tblLook w:val="04A0" w:firstRow="1" w:lastRow="0" w:firstColumn="1" w:lastColumn="0" w:noHBand="0" w:noVBand="1"/>
      </w:tblPr>
      <w:tblGrid>
        <w:gridCol w:w="2767"/>
        <w:gridCol w:w="6587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120" w:type="dxa"/>
              <w:right w:w="360" w:type="dxa"/>
              <w:bottom w:w="120" w:type="dxa"/>
            </w:tcMar>
            <w:tcW w:w="2767" w:type="dxa"/>
            <w:vAlign w:val="center"/>
            <w:textDirection w:val="lrTb"/>
            <w:noWrap w:val="false"/>
          </w:tcPr>
          <w:p w14:paraId="5630EC4F">
            <w:pPr>
              <w:pBdr/>
              <w:spacing w:after="0" w:afterAutospacing="0" w:before="0" w:beforeAutospacing="0" w:line="240"/>
              <w:ind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eastAsia="Liberation Serif" w:cs="Liberation Serif"/>
                <w:b/>
                <w:color w:val="000000"/>
                <w:spacing w:val="3"/>
                <w:sz w:val="21"/>
              </w:rPr>
              <w:t xml:space="preserve">Основание</w:t>
            </w:r>
            <w:r>
              <w:rPr>
                <w:rFonts w:ascii="Liberation Serif" w:hAnsi="Liberation Serif" w:eastAsia="Liberation Serif" w:cs="Liberation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360" w:type="dxa"/>
              <w:top w:w="120" w:type="dxa"/>
              <w:right w:w="360" w:type="dxa"/>
              <w:bottom w:w="120" w:type="dxa"/>
            </w:tcMar>
            <w:tcW w:w="6587" w:type="dxa"/>
            <w:vAlign w:val="center"/>
            <w:textDirection w:val="lrTb"/>
            <w:noWrap w:val="false"/>
          </w:tcPr>
          <w:p w14:paraId="79ADB784">
            <w:pPr>
              <w:pBdr/>
              <w:spacing w:after="0" w:afterAutospacing="0" w:before="0" w:beforeAutospacing="0" w:line="240"/>
              <w:ind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eastAsia="Liberation Serif" w:cs="Liberation Serif"/>
                <w:b/>
                <w:color w:val="000000"/>
                <w:spacing w:val="3"/>
                <w:sz w:val="21"/>
              </w:rPr>
              <w:t xml:space="preserve">Действия</w:t>
            </w:r>
            <w:r>
              <w:rPr>
                <w:rFonts w:ascii="Liberation Serif" w:hAnsi="Liberation Serif" w:eastAsia="Liberation Serif" w:cs="Liberation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120" w:type="dxa"/>
              <w:right w:w="360" w:type="dxa"/>
              <w:bottom w:w="120" w:type="dxa"/>
            </w:tcMar>
            <w:tcW w:w="2767" w:type="dxa"/>
            <w:vAlign w:val="center"/>
            <w:textDirection w:val="lrTb"/>
            <w:noWrap w:val="false"/>
          </w:tcPr>
          <w:p w14:paraId="4D94F3A0">
            <w:pPr>
              <w:pBdr/>
              <w:spacing w:after="0" w:afterAutospacing="0" w:before="0" w:beforeAutospacing="0" w:line="240"/>
              <w:ind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eastAsia="Liberation Serif" w:cs="Liberation Serif"/>
                <w:b/>
                <w:color w:val="000000"/>
                <w:spacing w:val="3"/>
                <w:sz w:val="21"/>
              </w:rPr>
              <w:t xml:space="preserve">Основной отпуск</w:t>
            </w:r>
            <w:r>
              <w:rPr>
                <w:rFonts w:ascii="Liberation Serif" w:hAnsi="Liberation Serif" w:eastAsia="Liberation Serif" w:cs="Liberation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360" w:type="dxa"/>
              <w:top w:w="120" w:type="dxa"/>
              <w:right w:w="360" w:type="dxa"/>
              <w:bottom w:w="120" w:type="dxa"/>
            </w:tcMar>
            <w:tcW w:w="6587" w:type="dxa"/>
            <w:vAlign w:val="center"/>
            <w:textDirection w:val="lrTb"/>
            <w:noWrap w:val="false"/>
          </w:tcPr>
          <w:p w14:paraId="772C864A">
            <w:pPr>
              <w:pBdr/>
              <w:spacing w:after="0" w:afterAutospacing="0" w:before="0" w:beforeAutospacing="0" w:line="240"/>
              <w:ind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eastAsia="Liberation Serif" w:cs="Liberation Serif"/>
                <w:color w:val="000000"/>
                <w:spacing w:val="3"/>
                <w:sz w:val="21"/>
              </w:rPr>
              <w:t xml:space="preserve">Поставить вопрос о направлении на ВВК по обычной служебной процедуре.</w:t>
            </w:r>
            <w:r>
              <w:rPr>
                <w:rFonts w:ascii="Liberation Serif" w:hAnsi="Liberation Serif" w:eastAsia="Liberation Serif" w:cs="Liberation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120" w:type="dxa"/>
              <w:right w:w="360" w:type="dxa"/>
              <w:bottom w:w="120" w:type="dxa"/>
            </w:tcMar>
            <w:tcW w:w="2767" w:type="dxa"/>
            <w:vAlign w:val="center"/>
            <w:textDirection w:val="lrTb"/>
            <w:noWrap w:val="false"/>
          </w:tcPr>
          <w:p w14:paraId="3F658FAF">
            <w:pPr>
              <w:pBdr/>
              <w:spacing w:after="0" w:afterAutospacing="0" w:before="0" w:beforeAutospacing="0" w:line="240"/>
              <w:ind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eastAsia="Liberation Serif" w:cs="Liberation Serif"/>
                <w:b/>
                <w:color w:val="000000"/>
                <w:spacing w:val="3"/>
                <w:sz w:val="21"/>
              </w:rPr>
              <w:t xml:space="preserve">Отпуск по болезни</w:t>
            </w:r>
            <w:r>
              <w:rPr>
                <w:rFonts w:ascii="Liberation Serif" w:hAnsi="Liberation Serif" w:eastAsia="Liberation Serif" w:cs="Liberation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360" w:type="dxa"/>
              <w:top w:w="120" w:type="dxa"/>
              <w:right w:w="360" w:type="dxa"/>
              <w:bottom w:w="120" w:type="dxa"/>
            </w:tcMar>
            <w:tcW w:w="6587" w:type="dxa"/>
            <w:vAlign w:val="center"/>
            <w:textDirection w:val="lrTb"/>
            <w:noWrap w:val="false"/>
          </w:tcPr>
          <w:p w14:paraId="0E4363C4">
            <w:pPr>
              <w:pBdr/>
              <w:spacing w:after="0" w:afterAutospacing="0" w:before="0" w:beforeAutospacing="0" w:line="240"/>
              <w:ind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eastAsia="Liberation Serif" w:cs="Liberation Serif"/>
                <w:color w:val="000000"/>
                <w:spacing w:val="3"/>
                <w:sz w:val="21"/>
              </w:rPr>
              <w:t xml:space="preserve">Обратиться за направлением к одному из должностных лиц, имеющих право его выдать.</w:t>
            </w:r>
            <w:r>
              <w:rPr>
                <w:rFonts w:ascii="Liberation Serif" w:hAnsi="Liberation Serif" w:eastAsia="Liberation Serif" w:cs="Liberation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120" w:type="dxa"/>
              <w:right w:w="360" w:type="dxa"/>
              <w:bottom w:w="120" w:type="dxa"/>
            </w:tcMar>
            <w:tcW w:w="2767" w:type="dxa"/>
            <w:vAlign w:val="center"/>
            <w:textDirection w:val="lrTb"/>
            <w:noWrap w:val="false"/>
          </w:tcPr>
          <w:p w14:paraId="3E597034">
            <w:pPr>
              <w:pBdr/>
              <w:spacing w:after="0" w:afterAutospacing="0" w:before="0" w:beforeAutospacing="0" w:line="240"/>
              <w:ind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eastAsia="Liberation Serif" w:cs="Liberation Serif"/>
                <w:b/>
                <w:color w:val="000000"/>
                <w:spacing w:val="3"/>
                <w:sz w:val="21"/>
              </w:rPr>
              <w:t xml:space="preserve">Отпуск по болезни, связанный с СВО</w:t>
            </w:r>
            <w:r>
              <w:rPr>
                <w:rFonts w:ascii="Liberation Serif" w:hAnsi="Liberation Serif" w:eastAsia="Liberation Serif" w:cs="Liberation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360" w:type="dxa"/>
              <w:top w:w="120" w:type="dxa"/>
              <w:right w:w="360" w:type="dxa"/>
              <w:bottom w:w="120" w:type="dxa"/>
            </w:tcMar>
            <w:tcW w:w="6587" w:type="dxa"/>
            <w:vAlign w:val="center"/>
            <w:textDirection w:val="lrTb"/>
            <w:noWrap w:val="false"/>
          </w:tcPr>
          <w:p w14:paraId="1E9532F1">
            <w:pPr>
              <w:pBdr/>
              <w:spacing w:after="0" w:afterAutospacing="0" w:before="0" w:beforeAutospacing="0" w:line="240"/>
              <w:ind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eastAsia="Liberation Serif" w:cs="Liberation Serif"/>
                <w:color w:val="000000"/>
                <w:spacing w:val="3"/>
                <w:sz w:val="21"/>
              </w:rPr>
              <w:t xml:space="preserve">Подать рапорт и пройти освидетельствование в организации, куда будет оформлено направление.</w:t>
            </w:r>
            <w:r>
              <w:rPr>
                <w:rFonts w:ascii="Liberation Serif" w:hAnsi="Liberation Serif" w:eastAsia="Liberation Serif" w:cs="Liberation Serif"/>
              </w:rPr>
            </w:r>
          </w:p>
        </w:tc>
      </w:tr>
    </w:tbl>
    <w:p w14:paraId="2A77C0D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afterAutospacing="0" w:before="0" w:beforeAutospacing="0" w:line="420" w:lineRule="atLeast"/>
        <w:ind w:right="0" w:firstLine="708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На освидетельствовании ВВК решает медицинские вопросы, в том числе определяет категорию годности и при наличии оснований рассматривает предоставление или продление отпуска по болезни.</w:t>
      </w:r>
      <w:r>
        <w:rPr>
          <w:rFonts w:ascii="Liberation Serif" w:hAnsi="Liberation Serif" w:eastAsia="Liberation Serif" w:cs="Liberation Serif"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5E421F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2026-09-27T22:00:24Z</dcterms:modified>
</cp:coreProperties>
</file>