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2A02D7AA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Какие формулировки использует ВВК</w:t>
      </w:r>
      <w:r/>
    </w:p>
    <w:p w14:paraId="1960BBA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 Положению о военно‑врачебной экспертизе (ПП РФ № 565) комиссия применяет три ключевые формулировки:</w:t>
      </w:r>
      <w:r/>
    </w:p>
    <w:p w14:paraId="0A7F447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«Военная травма»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если увечье или заболевание напрямую связано с исполнением обязанностей военной службы. Сюда относят не только ранения и травмы, но и отдельные особые случаи: например, заражение из‑за медицинской манипуляции в период лечения, болезнь после укуса животн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ого при выполнении задач, отдельные поствакцинальные осложнения.</w:t>
      </w:r>
      <w:r/>
    </w:p>
    <w:p w14:paraId="1E455F9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«Заболевание получено в период военной службы»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если болезнь возникла во время службы либо её начало документально можно отнести к этому периоду (в том числе если диагноз поставили уже после увольнения). Также эту формулировку ставят, если травма случилась в результате несчастного случая, не связанно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го с исполнением обязанностей, либо если нет документов, однозначно подтверждающих «военную травму».</w:t>
      </w:r>
      <w:r/>
    </w:p>
    <w:p w14:paraId="63311F4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«Общее заболевание»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если заболевание или увечье возникло до призыва либо после увольнения, и нельзя доказать связь с периодом службы.</w:t>
      </w:r>
      <w:r/>
    </w:p>
    <w:p w14:paraId="37B49095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Почему формулировка влияет на выплаты и льготы</w:t>
      </w:r>
      <w:r/>
    </w:p>
    <w:p w14:paraId="5D19281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Разница в формулировке напрямую меняет объём поддержки:</w:t>
      </w:r>
      <w:r/>
    </w:p>
    <w:p w14:paraId="5DC8BA6E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Страховые выплаты.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 закону № 52‑ФЗ выплаты положены, если инвалидность или увечье связаны с периодом службы — а подтверждает эту связь именно формулировка ВВК. При отметке «общее заболевание» страховой случай не признают, и выплата не назначается.</w:t>
      </w:r>
      <w:r/>
    </w:p>
    <w:p w14:paraId="5119E0EC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Специальные компенсации.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Ряд выплат по закону № 306‑ФЗ прямо привязан к подтверждённой «военной травме» — при других формулировках эти компенсации не дают.</w:t>
      </w:r>
      <w:r/>
    </w:p>
    <w:p w14:paraId="7C325EA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Размер пенсии по инвалидности.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 закону № 4468‑1 пенсия зависит от причины инвалидности: </w:t>
      </w:r>
      <w:r/>
    </w:p>
    <w:p w14:paraId="534F33FC">
      <w:pPr>
        <w:pStyle w:val="668"/>
        <w:numPr>
          <w:ilvl w:val="1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инвалидности из‑за военной травмы: 85 % денежного довольствия для I–II групп, 50 % — для III группы;</w:t>
      </w:r>
      <w:r/>
    </w:p>
    <w:p w14:paraId="6F54AD80">
      <w:pPr>
        <w:pStyle w:val="668"/>
        <w:numPr>
          <w:ilvl w:val="1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инвалидности из‑за заболевания, полученного в период службы: 75 % для I–II групп, 40 % — для III группы.</w:t>
      </w:r>
      <w:r/>
    </w:p>
    <w:p w14:paraId="32C34B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То есть при одной и той же группе инвалидности сумма будет разной — всё решает формулировка в заключении.</w:t>
      </w:r>
      <w:r/>
    </w:p>
    <w:p w14:paraId="04CAABB2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На что обратить внимание на практике</w:t>
      </w:r>
      <w:r/>
    </w:p>
    <w:p w14:paraId="5F5CACD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Учитывая, сколько зависит от одной строки в документе, важно:</w:t>
      </w:r>
      <w:r/>
    </w:p>
    <w:p w14:paraId="1AA7248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внимательно читать раздел заключения ВВК о причинной связи;</w:t>
      </w:r>
      <w:r/>
    </w:p>
    <w:p w14:paraId="0176412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заранее подготовить все документы, подтверждающие обстоятельства получения травмы или развития болезни;</w:t>
      </w:r>
      <w:r/>
    </w:p>
    <w:p w14:paraId="11D44A3A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несогласии с формулировкой — обсудить возможность оспаривания с профильным юристом и собрать дополнительные медицинские или служебные бумаги.</w:t>
      </w:r>
      <w:r/>
    </w:p>
    <w:p w14:paraId="4D2971B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скажете, какая ситуация вас интересует (например, несогласие с заключением ВВК, оформление выплат или подготовка документов), подскажу, как лучше структурировать обращение и какие сведения в нём акцентировать.</w:t>
      </w:r>
      <w:r/>
      <w:r/>
      <w:r>
        <w:rPr>
          <w:rFonts w:ascii="Times New Roman" w:hAnsi="Times New Roman" w:eastAsia="Times New Roman" w:cs="Times New Roman"/>
          <w:sz w:val="24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87F69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7ADB3FF4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0DED7D90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2026-07-22T05:27:28Z</dcterms:modified>
</cp:coreProperties>
</file>